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tblCellSpacing w:w="0" w:type="dxa"/>
        <w:shd w:val="clear" w:color="auto" w:fill="F7F7F7"/>
        <w:tblCellMar>
          <w:left w:w="0" w:type="dxa"/>
          <w:right w:w="0" w:type="dxa"/>
        </w:tblCellMar>
        <w:tblLook w:val="04A0"/>
      </w:tblPr>
      <w:tblGrid>
        <w:gridCol w:w="14550"/>
      </w:tblGrid>
      <w:tr w:rsidR="00BF1345" w:rsidRPr="00BF1345" w:rsidTr="00BF1345">
        <w:trPr>
          <w:trHeight w:val="900"/>
          <w:tblCellSpacing w:w="0" w:type="dxa"/>
        </w:trPr>
        <w:tc>
          <w:tcPr>
            <w:tcW w:w="0" w:type="auto"/>
            <w:shd w:val="clear" w:color="auto" w:fill="F7F7F7"/>
            <w:tcMar>
              <w:top w:w="136" w:type="dxa"/>
              <w:left w:w="136" w:type="dxa"/>
              <w:bottom w:w="136" w:type="dxa"/>
              <w:right w:w="136" w:type="dxa"/>
            </w:tcMar>
            <w:vAlign w:val="center"/>
            <w:hideMark/>
          </w:tcPr>
          <w:p w:rsidR="00BF1345" w:rsidRPr="00BF1345" w:rsidRDefault="00BF1345" w:rsidP="00BF1345">
            <w:pPr>
              <w:widowControl/>
              <w:spacing w:before="68" w:line="318" w:lineRule="atLeast"/>
              <w:jc w:val="center"/>
              <w:rPr>
                <w:rFonts w:ascii="Simsun" w:eastAsia="宋体" w:hAnsi="Simsun" w:cs="宋体" w:hint="eastAsia"/>
                <w:color w:val="000000"/>
                <w:kern w:val="0"/>
                <w:sz w:val="18"/>
                <w:szCs w:val="18"/>
              </w:rPr>
            </w:pPr>
            <w:r w:rsidRPr="00BF1345">
              <w:rPr>
                <w:rFonts w:ascii="Simsun" w:eastAsia="宋体" w:hAnsi="Simsun" w:cs="宋体"/>
                <w:b/>
                <w:bCs/>
                <w:color w:val="FF6600"/>
                <w:spacing w:val="14"/>
                <w:kern w:val="0"/>
                <w:sz w:val="22"/>
              </w:rPr>
              <w:t>农业部办公厅</w:t>
            </w:r>
            <w:r w:rsidRPr="00BF1345">
              <w:rPr>
                <w:rFonts w:ascii="Simsun" w:eastAsia="宋体" w:hAnsi="Simsun" w:cs="宋体"/>
                <w:b/>
                <w:bCs/>
                <w:color w:val="FF6600"/>
                <w:spacing w:val="14"/>
                <w:kern w:val="0"/>
                <w:sz w:val="22"/>
              </w:rPr>
              <w:t xml:space="preserve"> </w:t>
            </w:r>
            <w:r w:rsidRPr="00BF1345">
              <w:rPr>
                <w:rFonts w:ascii="Simsun" w:eastAsia="宋体" w:hAnsi="Simsun" w:cs="宋体"/>
                <w:b/>
                <w:bCs/>
                <w:color w:val="FF6600"/>
                <w:spacing w:val="14"/>
                <w:kern w:val="0"/>
                <w:sz w:val="22"/>
              </w:rPr>
              <w:t>财政部办公厅关于印发《农业机械购置补贴产品违规经营行为处理办法（试行）》的通知</w:t>
            </w:r>
            <w:r w:rsidRPr="00BF1345">
              <w:rPr>
                <w:rFonts w:ascii="Simsun" w:eastAsia="宋体" w:hAnsi="Simsun" w:cs="宋体"/>
                <w:b/>
                <w:bCs/>
                <w:color w:val="FF6600"/>
                <w:spacing w:val="14"/>
                <w:kern w:val="0"/>
                <w:sz w:val="22"/>
              </w:rPr>
              <w:t> </w:t>
            </w:r>
          </w:p>
          <w:tbl>
            <w:tblPr>
              <w:tblW w:w="3947" w:type="pct"/>
              <w:jc w:val="center"/>
              <w:tblCellSpacing w:w="0" w:type="dxa"/>
              <w:tblCellMar>
                <w:left w:w="0" w:type="dxa"/>
                <w:right w:w="0" w:type="dxa"/>
              </w:tblCellMar>
              <w:tblLook w:val="04A0"/>
            </w:tblPr>
            <w:tblGrid>
              <w:gridCol w:w="3006"/>
              <w:gridCol w:w="8265"/>
            </w:tblGrid>
            <w:tr w:rsidR="002D0CA2" w:rsidRPr="00BF1345" w:rsidTr="002D0CA2">
              <w:trPr>
                <w:tblCellSpacing w:w="0" w:type="dxa"/>
                <w:jc w:val="center"/>
              </w:trPr>
              <w:tc>
                <w:tcPr>
                  <w:tcW w:w="3006" w:type="dxa"/>
                  <w:vAlign w:val="center"/>
                  <w:hideMark/>
                </w:tcPr>
                <w:p w:rsidR="002D0CA2" w:rsidRPr="00BF1345" w:rsidRDefault="002D0CA2" w:rsidP="00BF1345">
                  <w:pPr>
                    <w:widowControl/>
                    <w:spacing w:line="318" w:lineRule="atLeast"/>
                    <w:jc w:val="center"/>
                    <w:rPr>
                      <w:rFonts w:ascii="宋体" w:eastAsia="宋体" w:hAnsi="宋体" w:cs="宋体"/>
                      <w:color w:val="000000"/>
                      <w:kern w:val="0"/>
                      <w:sz w:val="18"/>
                      <w:szCs w:val="18"/>
                    </w:rPr>
                  </w:pPr>
                  <w:r w:rsidRPr="00BF1345">
                    <w:rPr>
                      <w:rFonts w:ascii="宋体" w:eastAsia="宋体" w:hAnsi="宋体" w:cs="宋体"/>
                      <w:color w:val="000000"/>
                      <w:kern w:val="0"/>
                      <w:sz w:val="18"/>
                      <w:szCs w:val="18"/>
                    </w:rPr>
                    <w:t> </w:t>
                  </w:r>
                </w:p>
              </w:tc>
              <w:tc>
                <w:tcPr>
                  <w:tcW w:w="8266" w:type="dxa"/>
                  <w:vAlign w:val="center"/>
                  <w:hideMark/>
                </w:tcPr>
                <w:p w:rsidR="002D0CA2" w:rsidRPr="00BF1345" w:rsidRDefault="002D0CA2" w:rsidP="00BF1345">
                  <w:pPr>
                    <w:widowControl/>
                    <w:spacing w:line="318" w:lineRule="atLeast"/>
                    <w:jc w:val="center"/>
                    <w:rPr>
                      <w:rFonts w:ascii="宋体" w:eastAsia="宋体" w:hAnsi="宋体" w:cs="宋体"/>
                      <w:color w:val="000000"/>
                      <w:kern w:val="0"/>
                      <w:sz w:val="18"/>
                      <w:szCs w:val="18"/>
                    </w:rPr>
                  </w:pPr>
                </w:p>
              </w:tc>
            </w:tr>
          </w:tbl>
          <w:p w:rsidR="00BF1345" w:rsidRPr="00BF1345" w:rsidRDefault="00251986" w:rsidP="00BF1345">
            <w:pPr>
              <w:widowControl/>
              <w:spacing w:before="68" w:line="318" w:lineRule="atLeast"/>
              <w:jc w:val="center"/>
              <w:rPr>
                <w:rFonts w:ascii="Simsun" w:eastAsia="宋体" w:hAnsi="Simsun" w:cs="宋体" w:hint="eastAsia"/>
                <w:color w:val="000000"/>
                <w:kern w:val="0"/>
                <w:sz w:val="18"/>
                <w:szCs w:val="18"/>
              </w:rPr>
            </w:pPr>
            <w:r w:rsidRPr="00251986">
              <w:rPr>
                <w:rFonts w:ascii="Simsun" w:eastAsia="宋体" w:hAnsi="Simsun" w:cs="宋体"/>
                <w:color w:val="000000"/>
                <w:kern w:val="0"/>
                <w:sz w:val="18"/>
                <w:szCs w:val="18"/>
              </w:rPr>
              <w:pict>
                <v:rect id="_x0000_i1025" style="width:407pt;height:.75pt" o:hrpct="980" o:hralign="center" o:hrstd="t" o:hrnoshade="t" o:hr="t" fillcolor="#e08702" stroked="f"/>
              </w:pict>
            </w:r>
          </w:p>
        </w:tc>
      </w:tr>
      <w:tr w:rsidR="00BF1345" w:rsidRPr="00BF1345" w:rsidTr="00BF1345">
        <w:trPr>
          <w:trHeight w:val="4500"/>
          <w:tblCellSpacing w:w="0" w:type="dxa"/>
        </w:trPr>
        <w:tc>
          <w:tcPr>
            <w:tcW w:w="0" w:type="auto"/>
            <w:shd w:val="clear" w:color="auto" w:fill="F7F7F7"/>
            <w:tcMar>
              <w:top w:w="136" w:type="dxa"/>
              <w:left w:w="543" w:type="dxa"/>
              <w:bottom w:w="136" w:type="dxa"/>
              <w:right w:w="543" w:type="dxa"/>
            </w:tcMar>
            <w:hideMark/>
          </w:tcPr>
          <w:p w:rsidR="00BF1345" w:rsidRPr="00BF1345" w:rsidRDefault="00BF1345" w:rsidP="00BF1345">
            <w:pPr>
              <w:widowControl/>
              <w:spacing w:before="100" w:beforeAutospacing="1" w:after="100" w:afterAutospacing="1"/>
              <w:ind w:firstLine="480"/>
              <w:jc w:val="center"/>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农办财〔</w:t>
            </w:r>
            <w:r w:rsidRPr="00BF1345">
              <w:rPr>
                <w:rFonts w:ascii="Simsun" w:eastAsia="宋体" w:hAnsi="Simsun" w:cs="宋体"/>
                <w:color w:val="000000"/>
                <w:kern w:val="0"/>
                <w:sz w:val="19"/>
                <w:szCs w:val="19"/>
              </w:rPr>
              <w:t>2017</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26</w:t>
            </w:r>
            <w:r w:rsidRPr="00BF1345">
              <w:rPr>
                <w:rFonts w:ascii="Simsun" w:eastAsia="宋体" w:hAnsi="Simsun" w:cs="宋体"/>
                <w:color w:val="000000"/>
                <w:kern w:val="0"/>
                <w:sz w:val="19"/>
                <w:szCs w:val="19"/>
              </w:rPr>
              <w:t>号</w:t>
            </w:r>
          </w:p>
          <w:p w:rsidR="00BF1345" w:rsidRPr="00BF1345" w:rsidRDefault="00BF1345" w:rsidP="00BF1345">
            <w:pPr>
              <w:widowControl/>
              <w:jc w:val="left"/>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各省、自治区、直辖市及计划单列市农业（农牧、农村经济）厅（局、委）、农机管理局（办公室）、财政厅（局），新疆生产建设兵团农业局、财务局，黑龙江省农垦总局、广东省农垦总局：</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w:t>
            </w:r>
            <w:r w:rsidRPr="00BF1345">
              <w:rPr>
                <w:rFonts w:ascii="Simsun" w:eastAsia="宋体" w:hAnsi="Simsun" w:cs="宋体"/>
                <w:color w:val="000000"/>
                <w:kern w:val="0"/>
                <w:sz w:val="19"/>
                <w:szCs w:val="19"/>
              </w:rPr>
              <w:t>2015</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230</w:t>
            </w:r>
            <w:r w:rsidRPr="00BF1345">
              <w:rPr>
                <w:rFonts w:ascii="Simsun" w:eastAsia="宋体" w:hAnsi="Simsun" w:cs="宋体"/>
                <w:color w:val="000000"/>
                <w:kern w:val="0"/>
                <w:sz w:val="19"/>
                <w:szCs w:val="19"/>
              </w:rPr>
              <w:t>号）等法律法规和有关规定，特制定《农业机械购置补贴产品违规经营行为处理办法（试行）》（见附件），现予印发，请遵照执行。</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附件：《农业机械购置补贴产品违规经营行为处理办法（试行）》</w:t>
            </w:r>
          </w:p>
          <w:p w:rsidR="00BF1345" w:rsidRPr="00BF1345" w:rsidRDefault="00BF1345" w:rsidP="00BF1345">
            <w:pPr>
              <w:widowControl/>
              <w:spacing w:before="100" w:beforeAutospacing="1" w:after="100" w:afterAutospacing="1"/>
              <w:ind w:firstLine="480"/>
              <w:jc w:val="right"/>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农业部办公厅</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财政部办公厅</w:t>
            </w:r>
          </w:p>
          <w:p w:rsidR="00BF1345" w:rsidRPr="00BF1345" w:rsidRDefault="00BF1345" w:rsidP="00BF1345">
            <w:pPr>
              <w:widowControl/>
              <w:spacing w:before="100" w:beforeAutospacing="1" w:after="100" w:afterAutospacing="1"/>
              <w:ind w:firstLine="480"/>
              <w:jc w:val="right"/>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2017</w:t>
            </w:r>
            <w:r w:rsidRPr="00BF1345">
              <w:rPr>
                <w:rFonts w:ascii="Simsun" w:eastAsia="宋体" w:hAnsi="Simsun" w:cs="宋体"/>
                <w:color w:val="000000"/>
                <w:kern w:val="0"/>
                <w:sz w:val="19"/>
                <w:szCs w:val="19"/>
              </w:rPr>
              <w:t>年</w:t>
            </w:r>
            <w:r w:rsidRPr="00BF1345">
              <w:rPr>
                <w:rFonts w:ascii="Simsun" w:eastAsia="宋体" w:hAnsi="Simsun" w:cs="宋体"/>
                <w:color w:val="000000"/>
                <w:kern w:val="0"/>
                <w:sz w:val="19"/>
                <w:szCs w:val="19"/>
              </w:rPr>
              <w:t>5</w:t>
            </w:r>
            <w:r w:rsidRPr="00BF1345">
              <w:rPr>
                <w:rFonts w:ascii="Simsun" w:eastAsia="宋体" w:hAnsi="Simsun" w:cs="宋体"/>
                <w:color w:val="000000"/>
                <w:kern w:val="0"/>
                <w:sz w:val="19"/>
                <w:szCs w:val="19"/>
              </w:rPr>
              <w:t>月</w:t>
            </w:r>
            <w:r w:rsidRPr="00BF1345">
              <w:rPr>
                <w:rFonts w:ascii="Simsun" w:eastAsia="宋体" w:hAnsi="Simsun" w:cs="宋体"/>
                <w:color w:val="000000"/>
                <w:kern w:val="0"/>
                <w:sz w:val="19"/>
                <w:szCs w:val="19"/>
              </w:rPr>
              <w:t>19</w:t>
            </w:r>
            <w:r w:rsidRPr="00BF1345">
              <w:rPr>
                <w:rFonts w:ascii="Simsun" w:eastAsia="宋体" w:hAnsi="Simsun" w:cs="宋体"/>
                <w:color w:val="000000"/>
                <w:kern w:val="0"/>
                <w:sz w:val="19"/>
                <w:szCs w:val="19"/>
              </w:rPr>
              <w:t>日</w:t>
            </w:r>
          </w:p>
          <w:p w:rsidR="00BF1345" w:rsidRPr="00BF1345" w:rsidRDefault="00BF1345" w:rsidP="00BF1345">
            <w:pPr>
              <w:widowControl/>
              <w:spacing w:before="100" w:beforeAutospacing="1" w:after="100" w:afterAutospacing="1"/>
              <w:ind w:firstLine="480"/>
              <w:jc w:val="center"/>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农业机械购置补贴产品违规经营行为处理办法</w:t>
            </w:r>
          </w:p>
          <w:p w:rsidR="00BF1345" w:rsidRPr="00BF1345" w:rsidRDefault="00BF1345" w:rsidP="00BF1345">
            <w:pPr>
              <w:widowControl/>
              <w:spacing w:before="100" w:beforeAutospacing="1" w:after="100" w:afterAutospacing="1"/>
              <w:ind w:firstLine="480"/>
              <w:jc w:val="center"/>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（试行）</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第一章</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总</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则</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第一条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为做好农业机械购置补贴产品（以下简称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补贴产品</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）违规经营行为查处工作，根据《财政违法行为处罚处分条例》（国务院令第</w:t>
            </w:r>
            <w:r w:rsidRPr="00BF1345">
              <w:rPr>
                <w:rFonts w:ascii="Simsun" w:eastAsia="宋体" w:hAnsi="Simsun" w:cs="宋体"/>
                <w:color w:val="000000"/>
                <w:kern w:val="0"/>
                <w:sz w:val="19"/>
                <w:szCs w:val="19"/>
              </w:rPr>
              <w:t>427</w:t>
            </w:r>
            <w:r w:rsidRPr="00BF1345">
              <w:rPr>
                <w:rFonts w:ascii="Simsun" w:eastAsia="宋体" w:hAnsi="Simsun" w:cs="宋体"/>
                <w:color w:val="000000"/>
                <w:kern w:val="0"/>
                <w:sz w:val="19"/>
                <w:szCs w:val="19"/>
              </w:rPr>
              <w:t>号）、《中央</w:t>
            </w:r>
            <w:r w:rsidRPr="00BF1345">
              <w:rPr>
                <w:rFonts w:ascii="Simsun" w:eastAsia="宋体" w:hAnsi="Simsun" w:cs="宋体"/>
                <w:color w:val="000000"/>
                <w:kern w:val="0"/>
                <w:sz w:val="19"/>
                <w:szCs w:val="19"/>
              </w:rPr>
              <w:lastRenderedPageBreak/>
              <w:t>对地方专项转移支付管理办法》（财预〔</w:t>
            </w:r>
            <w:r w:rsidRPr="00BF1345">
              <w:rPr>
                <w:rFonts w:ascii="Simsun" w:eastAsia="宋体" w:hAnsi="Simsun" w:cs="宋体"/>
                <w:color w:val="000000"/>
                <w:kern w:val="0"/>
                <w:sz w:val="19"/>
                <w:szCs w:val="19"/>
              </w:rPr>
              <w:t>2015</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230</w:t>
            </w:r>
            <w:r w:rsidRPr="00BF1345">
              <w:rPr>
                <w:rFonts w:ascii="Simsun" w:eastAsia="宋体" w:hAnsi="Simsun" w:cs="宋体"/>
                <w:color w:val="000000"/>
                <w:kern w:val="0"/>
                <w:sz w:val="19"/>
                <w:szCs w:val="19"/>
              </w:rPr>
              <w:t>号）等有关规定，制定本办法。</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第二条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本办法适用于查处农业机械生产企业、经销企业（以下简称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农机产销企业</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）在参与农业机械购置补贴政策（以下简称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补贴政策</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）实施中所发生的违规经营补贴产品的行为，以及申请农机购置补贴的购机者（以下简称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购机者</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）参与违规经营补贴产品的行为。</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第三条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本办法所称补贴产品违规经营行为（以下简称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违规行为</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），是指农机产销企业在补贴产品投档、补贴产品信息上传农机购置补贴辅助管理系统、补贴产品经营、参与补贴申领等过程中发生的违规行为，以及购机者参与违规经营以申领补贴的行为。</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第四条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违规行为查处遵循实事求是、公开公正、权责一致、地方为主的原则。</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第五条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各级农机化、财政等部门在同级人民政府领导和组织下，按职责分工开展违规行为查处工作。</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第六条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（一）遵守补贴政策相关规定，合法合规经营，不得有骗补、套补等违法违规行为；</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（二）正确宣传补贴政策，规范真实使用补贴产品标志标识，不误导购机者购置补贴产品，不参与购机者虚假申领补贴；</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（三）按补贴政策要求提供、保存真实完整的纸质和电子资料，供应符合规定的农机产品；</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（四）发现影响补贴政策实施的异常情况，应主动报告当地农机化主管部门，及时采取防范补救措施，并加强整改；</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（五）对购机者符合规定的退（换）货要求，首先确认购机者尚未领取补贴或已将领取的补贴退回财政部门后，再为其办理退（换）货，并主动报告当地农机化、财政部门；</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lastRenderedPageBreak/>
              <w:t>（六）承担违反政策规定所引起的纠纷和经济损失等后果，主动退回违规行为涉及的补贴资金，接受主管部门处理；</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（七）其他有关责任义务。</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农机产销企业应就所承担的责任义务向农机化、财政部门提供书面承诺。</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第二章</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违规行为类型与处罚</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第七条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违规行为分轻微、较重和严重三类。</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（一）轻微违规行为。主要指无主观故意，在补贴产品投档、信息上传、公示宣传、资料归集等方面履行承诺事项不到位，对补贴政策实施带来较轻影响的行为，且积极配合调查和整改。</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（三）严重违规行为。主要指存在明显主观故意，采用未购报补、一机多补、重复报补等非法手段骗套补贴资金而对补贴政策实施带来严重影响的行为，以及有组织煽动购机者闹事、制造群体性事件等。</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第八条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农机化、财政部门应针对不同性质的违规行为，对违规农机产销企业和购机者采取相应的处理措施，不同措施可独立或合并实施。</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（一）对轻微违规行为的处理。县级及以上农机化主管部门可视情况对违规农机产销企业，采取警告、通报、暂停相关产品补贴资格、暂停经销相关补贴产品资格等措施，并限期整改。</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（二）对较重违规行为的处理。省级及以上农机化主管部门可视情况对违规农机产销企业，采取或授权采取暂停相关或全部产品补贴资格、暂停或取消经销</w:t>
            </w:r>
            <w:r w:rsidRPr="00BF1345">
              <w:rPr>
                <w:rFonts w:ascii="Simsun" w:eastAsia="宋体" w:hAnsi="Simsun" w:cs="宋体"/>
                <w:color w:val="000000"/>
                <w:kern w:val="0"/>
                <w:sz w:val="19"/>
                <w:szCs w:val="19"/>
              </w:rPr>
              <w:lastRenderedPageBreak/>
              <w:t>补贴产品资格、取消相关或全部产品补贴资格等措施。对参与较重违规行为的购机者，</w:t>
            </w:r>
            <w:r w:rsidRPr="00BF1345">
              <w:rPr>
                <w:rFonts w:ascii="Simsun" w:eastAsia="宋体" w:hAnsi="Simsun" w:cs="宋体"/>
                <w:color w:val="000000"/>
                <w:kern w:val="0"/>
                <w:sz w:val="19"/>
                <w:szCs w:val="19"/>
              </w:rPr>
              <w:t>3</w:t>
            </w:r>
            <w:r w:rsidRPr="00BF1345">
              <w:rPr>
                <w:rFonts w:ascii="Simsun" w:eastAsia="宋体" w:hAnsi="Simsun" w:cs="宋体"/>
                <w:color w:val="000000"/>
                <w:kern w:val="0"/>
                <w:sz w:val="19"/>
                <w:szCs w:val="19"/>
              </w:rPr>
              <w:t>年内不得享受农机购置补贴。同时，要求违规农机产销企业和购机者限期整改。</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上述行为涉嫌犯罪的，依法移送司法机关处理。</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第九条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在处理违规行为过程中涉及资金退缴、罚款等资金处理决定，由财政部门会同农机化主管部门作出。</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对拒不履行资金处理决定的违规农机产销企业，由财政部门会同农机化主管部门向司法机关申请强制执行。</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第十条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采取暂停处理措施的，应设</w:t>
            </w:r>
            <w:r w:rsidRPr="00BF1345">
              <w:rPr>
                <w:rFonts w:ascii="Simsun" w:eastAsia="宋体" w:hAnsi="Simsun" w:cs="宋体"/>
                <w:color w:val="000000"/>
                <w:kern w:val="0"/>
                <w:sz w:val="19"/>
                <w:szCs w:val="19"/>
              </w:rPr>
              <w:t>3</w:t>
            </w:r>
            <w:r w:rsidRPr="00BF1345">
              <w:rPr>
                <w:rFonts w:ascii="Simsun" w:eastAsia="宋体" w:hAnsi="Simsun" w:cs="宋体"/>
                <w:color w:val="000000"/>
                <w:kern w:val="0"/>
                <w:sz w:val="19"/>
                <w:szCs w:val="19"/>
              </w:rPr>
              <w:t>个月以上、</w:t>
            </w:r>
            <w:r w:rsidRPr="00BF1345">
              <w:rPr>
                <w:rFonts w:ascii="Simsun" w:eastAsia="宋体" w:hAnsi="Simsun" w:cs="宋体"/>
                <w:color w:val="000000"/>
                <w:kern w:val="0"/>
                <w:sz w:val="19"/>
                <w:szCs w:val="19"/>
              </w:rPr>
              <w:t>2</w:t>
            </w:r>
            <w:r w:rsidRPr="00BF1345">
              <w:rPr>
                <w:rFonts w:ascii="Simsun" w:eastAsia="宋体" w:hAnsi="Simsun" w:cs="宋体"/>
                <w:color w:val="000000"/>
                <w:kern w:val="0"/>
                <w:sz w:val="19"/>
                <w:szCs w:val="19"/>
              </w:rPr>
              <w:t>年以下的暂停期；暂停期满后，经企业书面申请，可按程序研究后续处理措施；暂停期满后</w:t>
            </w:r>
            <w:r w:rsidRPr="00BF1345">
              <w:rPr>
                <w:rFonts w:ascii="Simsun" w:eastAsia="宋体" w:hAnsi="Simsun" w:cs="宋体"/>
                <w:color w:val="000000"/>
                <w:kern w:val="0"/>
                <w:sz w:val="19"/>
                <w:szCs w:val="19"/>
              </w:rPr>
              <w:t>6</w:t>
            </w:r>
            <w:r w:rsidRPr="00BF1345">
              <w:rPr>
                <w:rFonts w:ascii="Simsun" w:eastAsia="宋体" w:hAnsi="Simsun" w:cs="宋体"/>
                <w:color w:val="000000"/>
                <w:kern w:val="0"/>
                <w:sz w:val="19"/>
                <w:szCs w:val="19"/>
              </w:rPr>
              <w:t>个月内，未收到企业书面申请的，视为该企业自行放弃相关产品补贴资格，原则上不再恢复。</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第十一条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对积极配合调查、主动报告问题、有效挽回或减轻损失的可从轻或减轻处理。对拒不配合调查、拒不执行相关处理决定、多次或重复发生违规行为的，应从重或加重处理。</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第三章</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查处程序</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第十二条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各级农机化、财政部门接到群众举报投诉、上级机关转办或其他部门转交的违规行为线索后，按照以下程序启动查处工作，全程留痕。</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（一）受理登记。对上级机关转办、其他部门转交或实名反映的本行政区域内的违规线索，应予登记。对提供不实联系方式、匿名反映且无具体线索的，可</w:t>
            </w:r>
            <w:r w:rsidRPr="00BF1345">
              <w:rPr>
                <w:rFonts w:ascii="Simsun" w:eastAsia="宋体" w:hAnsi="Simsun" w:cs="宋体"/>
                <w:color w:val="000000"/>
                <w:kern w:val="0"/>
                <w:sz w:val="19"/>
                <w:szCs w:val="19"/>
              </w:rPr>
              <w:lastRenderedPageBreak/>
              <w:t>不予登记。举报投诉事项涉及其他部门职权的，按规定移交有关线索。</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（三）约谈告知。作出处理决定前，应履行约谈程序，告知涉事企业及购机者其违规情节和拟采取的处理措施等，听取意见。涉事企业及购机者在规定时限内不接受约谈或不配合约谈的，视同无异议。</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（四）处理通报。根据调查结果和约谈情况，经集体研究作出有关处理决定并予公布。</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（五）材料留存。调查处理完结后，应对相关调查材料等留存备查。未经受理登记的相关材料亦应留存。调查材料保存期</w:t>
            </w:r>
            <w:r w:rsidRPr="00BF1345">
              <w:rPr>
                <w:rFonts w:ascii="Simsun" w:eastAsia="宋体" w:hAnsi="Simsun" w:cs="宋体"/>
                <w:color w:val="000000"/>
                <w:kern w:val="0"/>
                <w:sz w:val="19"/>
                <w:szCs w:val="19"/>
              </w:rPr>
              <w:t>5-10</w:t>
            </w:r>
            <w:r w:rsidRPr="00BF1345">
              <w:rPr>
                <w:rFonts w:ascii="Simsun" w:eastAsia="宋体" w:hAnsi="Simsun" w:cs="宋体"/>
                <w:color w:val="000000"/>
                <w:kern w:val="0"/>
                <w:sz w:val="19"/>
                <w:szCs w:val="19"/>
              </w:rPr>
              <w:t>年。</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第十三条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第四章</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附则</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第十四条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农机化、财政部门工作人员在补贴政策实施管理中的违纪、违法行为按相关法律法规和规定处理；涉嫌犯罪的，依法移送司法机关处理。</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第十五条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本办法由农业部、财政部负责解释。各省、自治区、直辖市、计划单列市和新疆生产建设兵团、黑龙江省农垦总局、广东省农垦总局可根据本办法，制定本辖区农业机械购置补贴产品违规经营行为处理细则。</w:t>
            </w:r>
          </w:p>
          <w:p w:rsidR="00BF1345" w:rsidRPr="00BF1345" w:rsidRDefault="00BF1345" w:rsidP="00BF1345">
            <w:pPr>
              <w:widowControl/>
              <w:spacing w:before="100" w:beforeAutospacing="1" w:after="100" w:afterAutospacing="1"/>
              <w:ind w:firstLine="480"/>
              <w:rPr>
                <w:rFonts w:ascii="Simsun" w:eastAsia="宋体" w:hAnsi="Simsun" w:cs="宋体" w:hint="eastAsia"/>
                <w:color w:val="000000"/>
                <w:kern w:val="0"/>
                <w:sz w:val="19"/>
                <w:szCs w:val="19"/>
              </w:rPr>
            </w:pPr>
            <w:r w:rsidRPr="00BF1345">
              <w:rPr>
                <w:rFonts w:ascii="Simsun" w:eastAsia="宋体" w:hAnsi="Simsun" w:cs="宋体"/>
                <w:color w:val="000000"/>
                <w:kern w:val="0"/>
                <w:sz w:val="19"/>
                <w:szCs w:val="19"/>
              </w:rPr>
              <w:t>第十六条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本办法自发布之日起施行。以往相关规定与本办法不一致的，以本办法为准。</w:t>
            </w:r>
          </w:p>
        </w:tc>
      </w:tr>
    </w:tbl>
    <w:p w:rsidR="00AC2785" w:rsidRPr="00BF1345" w:rsidRDefault="00AC2785"/>
    <w:sectPr w:rsidR="00AC2785" w:rsidRPr="00BF1345" w:rsidSect="00BF134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30E" w:rsidRDefault="00F4030E" w:rsidP="00DC7E02">
      <w:r>
        <w:separator/>
      </w:r>
    </w:p>
  </w:endnote>
  <w:endnote w:type="continuationSeparator" w:id="1">
    <w:p w:rsidR="00F4030E" w:rsidRDefault="00F4030E" w:rsidP="00DC7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30E" w:rsidRDefault="00F4030E" w:rsidP="00DC7E02">
      <w:r>
        <w:separator/>
      </w:r>
    </w:p>
  </w:footnote>
  <w:footnote w:type="continuationSeparator" w:id="1">
    <w:p w:rsidR="00F4030E" w:rsidRDefault="00F4030E" w:rsidP="00DC7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345"/>
    <w:rsid w:val="00073169"/>
    <w:rsid w:val="00251986"/>
    <w:rsid w:val="002D0CA2"/>
    <w:rsid w:val="00AC2785"/>
    <w:rsid w:val="00BF1345"/>
    <w:rsid w:val="00DC7E02"/>
    <w:rsid w:val="00F31255"/>
    <w:rsid w:val="00F40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1345"/>
  </w:style>
  <w:style w:type="character" w:customStyle="1" w:styleId="bsharecount">
    <w:name w:val="bshare_count"/>
    <w:basedOn w:val="a0"/>
    <w:rsid w:val="00BF1345"/>
  </w:style>
  <w:style w:type="paragraph" w:styleId="a3">
    <w:name w:val="Normal (Web)"/>
    <w:basedOn w:val="a"/>
    <w:uiPriority w:val="99"/>
    <w:unhideWhenUsed/>
    <w:rsid w:val="00BF134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C7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7E02"/>
    <w:rPr>
      <w:sz w:val="18"/>
      <w:szCs w:val="18"/>
    </w:rPr>
  </w:style>
  <w:style w:type="paragraph" w:styleId="a5">
    <w:name w:val="footer"/>
    <w:basedOn w:val="a"/>
    <w:link w:val="Char0"/>
    <w:uiPriority w:val="99"/>
    <w:semiHidden/>
    <w:unhideWhenUsed/>
    <w:rsid w:val="00DC7E0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C7E02"/>
    <w:rPr>
      <w:sz w:val="18"/>
      <w:szCs w:val="18"/>
    </w:rPr>
  </w:style>
</w:styles>
</file>

<file path=word/webSettings.xml><?xml version="1.0" encoding="utf-8"?>
<w:webSettings xmlns:r="http://schemas.openxmlformats.org/officeDocument/2006/relationships" xmlns:w="http://schemas.openxmlformats.org/wordprocessingml/2006/main">
  <w:divs>
    <w:div w:id="2033529765">
      <w:bodyDiv w:val="1"/>
      <w:marLeft w:val="0"/>
      <w:marRight w:val="0"/>
      <w:marTop w:val="0"/>
      <w:marBottom w:val="0"/>
      <w:divBdr>
        <w:top w:val="none" w:sz="0" w:space="0" w:color="auto"/>
        <w:left w:val="none" w:sz="0" w:space="0" w:color="auto"/>
        <w:bottom w:val="none" w:sz="0" w:space="0" w:color="auto"/>
        <w:right w:val="none" w:sz="0" w:space="0" w:color="auto"/>
      </w:divBdr>
      <w:divsChild>
        <w:div w:id="121288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493</Words>
  <Characters>2816</Characters>
  <Application>Microsoft Office Word</Application>
  <DocSecurity>0</DocSecurity>
  <Lines>23</Lines>
  <Paragraphs>6</Paragraphs>
  <ScaleCrop>false</ScaleCrop>
  <Company>微软公司</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4</cp:revision>
  <dcterms:created xsi:type="dcterms:W3CDTF">2017-06-15T02:08:00Z</dcterms:created>
  <dcterms:modified xsi:type="dcterms:W3CDTF">2017-06-26T03:00:00Z</dcterms:modified>
</cp:coreProperties>
</file>