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hint="eastAsia" w:ascii="黑体" w:hAnsi="黑体" w:eastAsia="黑体" w:cs="黑体"/>
          <w:bCs/>
          <w:sz w:val="44"/>
          <w:szCs w:val="44"/>
        </w:rPr>
      </w:pPr>
    </w:p>
    <w:p>
      <w:pPr>
        <w:adjustRightInd w:val="0"/>
        <w:snapToGrid w:val="0"/>
        <w:spacing w:line="620" w:lineRule="exact"/>
        <w:jc w:val="center"/>
        <w:rPr>
          <w:rFonts w:hint="eastAsia" w:ascii="黑体" w:hAnsi="黑体" w:eastAsia="黑体" w:cs="黑体"/>
          <w:bCs/>
          <w:sz w:val="44"/>
          <w:szCs w:val="44"/>
        </w:rPr>
      </w:pPr>
      <w:r>
        <w:rPr>
          <w:rFonts w:hint="eastAsia" w:ascii="黑体" w:hAnsi="黑体" w:eastAsia="黑体" w:cs="黑体"/>
          <w:bCs/>
          <w:sz w:val="44"/>
          <w:szCs w:val="44"/>
        </w:rPr>
        <w:t>财政部</w:t>
      </w:r>
      <w:r>
        <w:rPr>
          <w:rFonts w:hint="eastAsia" w:ascii="黑体" w:hAnsi="黑体" w:eastAsia="黑体" w:cs="黑体"/>
          <w:bCs/>
          <w:sz w:val="44"/>
          <w:szCs w:val="44"/>
          <w:lang w:val="en-US" w:eastAsia="zh-CN"/>
        </w:rPr>
        <w:t xml:space="preserve">  </w:t>
      </w:r>
      <w:r>
        <w:rPr>
          <w:rFonts w:hint="eastAsia" w:ascii="黑体" w:hAnsi="黑体" w:eastAsia="黑体" w:cs="黑体"/>
          <w:bCs/>
          <w:sz w:val="44"/>
          <w:szCs w:val="44"/>
        </w:rPr>
        <w:t>农业部</w:t>
      </w:r>
    </w:p>
    <w:p>
      <w:pPr>
        <w:adjustRightInd w:val="0"/>
        <w:snapToGrid w:val="0"/>
        <w:spacing w:line="620" w:lineRule="exact"/>
        <w:jc w:val="center"/>
        <w:rPr>
          <w:rFonts w:hint="eastAsia" w:ascii="仿宋" w:hAnsi="仿宋" w:eastAsia="仿宋" w:cs="华文中宋"/>
          <w:bCs/>
          <w:sz w:val="32"/>
          <w:szCs w:val="32"/>
        </w:rPr>
      </w:pPr>
      <w:r>
        <w:rPr>
          <w:rFonts w:hint="eastAsia" w:ascii="黑体" w:hAnsi="黑体" w:eastAsia="黑体" w:cs="黑体"/>
          <w:bCs/>
          <w:sz w:val="44"/>
          <w:szCs w:val="44"/>
        </w:rPr>
        <w:t>关于印发《农业生产发展资金管理办法》的通知</w:t>
      </w:r>
    </w:p>
    <w:p>
      <w:pPr>
        <w:adjustRightInd w:val="0"/>
        <w:snapToGrid w:val="0"/>
        <w:spacing w:line="620" w:lineRule="exact"/>
        <w:jc w:val="center"/>
        <w:rPr>
          <w:rFonts w:hint="eastAsia" w:ascii="仿宋" w:hAnsi="仿宋" w:eastAsia="仿宋" w:cs="华文中宋"/>
          <w:bCs/>
          <w:sz w:val="32"/>
          <w:szCs w:val="32"/>
        </w:rPr>
      </w:pPr>
      <w:r>
        <w:rPr>
          <w:rFonts w:hint="eastAsia" w:ascii="仿宋" w:hAnsi="仿宋" w:eastAsia="仿宋" w:cs="华文中宋"/>
          <w:bCs/>
          <w:sz w:val="32"/>
          <w:szCs w:val="32"/>
        </w:rPr>
        <w:t>财农〔2017〕41号</w:t>
      </w: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r>
        <w:rPr>
          <w:rFonts w:hint="eastAsia" w:ascii="仿宋" w:hAnsi="仿宋" w:eastAsia="仿宋" w:cs="华文中宋"/>
          <w:bCs/>
          <w:sz w:val="32"/>
          <w:szCs w:val="32"/>
        </w:rPr>
        <w:t>各省、自治区、直辖市、计划单列市财政厅（局）、农业（农牧、农村经济、畜牧兽医）厅（局、委、办），新疆生产建设兵团财务局、农业局，中央直属垦区：</w:t>
      </w:r>
    </w:p>
    <w:p>
      <w:pPr>
        <w:adjustRightInd w:val="0"/>
        <w:snapToGrid w:val="0"/>
        <w:spacing w:line="620" w:lineRule="exact"/>
        <w:jc w:val="left"/>
        <w:rPr>
          <w:rFonts w:hint="eastAsia" w:ascii="仿宋" w:hAnsi="仿宋" w:eastAsia="仿宋" w:cs="华文中宋"/>
          <w:bCs/>
          <w:sz w:val="32"/>
          <w:szCs w:val="32"/>
        </w:rPr>
      </w:pPr>
      <w:r>
        <w:rPr>
          <w:rFonts w:hint="eastAsia" w:ascii="仿宋" w:hAnsi="仿宋" w:eastAsia="仿宋" w:cs="华文中宋"/>
          <w:bCs/>
          <w:sz w:val="32"/>
          <w:szCs w:val="32"/>
        </w:rPr>
        <w:t>　　为了加强和规范农业生产发展资金管理，推进资金统筹使用，提高资金使用效益，根据《中华人民共和国预算法》等有关规定，财政部会同农业部制定了《农业生产发展资金管理办法》。现予印发，请遵照执行。</w:t>
      </w: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r>
        <w:rPr>
          <w:rFonts w:hint="eastAsia" w:ascii="仿宋" w:hAnsi="仿宋" w:eastAsia="仿宋" w:cs="华文中宋"/>
          <w:bCs/>
          <w:sz w:val="32"/>
          <w:szCs w:val="32"/>
        </w:rPr>
        <w:t>　　 附件：农业生产发展资金管理办法</w:t>
      </w:r>
    </w:p>
    <w:p>
      <w:pPr>
        <w:adjustRightInd w:val="0"/>
        <w:snapToGrid w:val="0"/>
        <w:spacing w:line="620" w:lineRule="exact"/>
        <w:jc w:val="right"/>
        <w:rPr>
          <w:rFonts w:hint="eastAsia" w:ascii="仿宋" w:hAnsi="仿宋" w:eastAsia="仿宋" w:cs="华文中宋"/>
          <w:bCs/>
          <w:sz w:val="32"/>
          <w:szCs w:val="32"/>
        </w:rPr>
      </w:pPr>
      <w:r>
        <w:rPr>
          <w:rFonts w:hint="eastAsia" w:ascii="仿宋" w:hAnsi="仿宋" w:eastAsia="仿宋" w:cs="华文中宋"/>
          <w:bCs/>
          <w:sz w:val="32"/>
          <w:szCs w:val="32"/>
        </w:rPr>
        <w:t xml:space="preserve">　                                                                               </w:t>
      </w:r>
    </w:p>
    <w:p>
      <w:pPr>
        <w:adjustRightInd w:val="0"/>
        <w:snapToGrid w:val="0"/>
        <w:spacing w:line="620" w:lineRule="exact"/>
        <w:jc w:val="both"/>
        <w:rPr>
          <w:rFonts w:hint="eastAsia" w:ascii="仿宋" w:hAnsi="仿宋" w:eastAsia="仿宋" w:cs="华文中宋"/>
          <w:bCs/>
          <w:sz w:val="32"/>
          <w:szCs w:val="32"/>
        </w:rPr>
      </w:pPr>
      <w:r>
        <w:rPr>
          <w:rFonts w:hint="eastAsia" w:ascii="仿宋" w:hAnsi="仿宋" w:eastAsia="仿宋" w:cs="华文中宋"/>
          <w:bCs/>
          <w:sz w:val="32"/>
          <w:szCs w:val="32"/>
          <w:lang w:val="en-US" w:eastAsia="zh-CN"/>
        </w:rPr>
        <w:t xml:space="preserve">                                     </w:t>
      </w:r>
      <w:r>
        <w:rPr>
          <w:rFonts w:hint="eastAsia" w:ascii="仿宋" w:hAnsi="仿宋" w:eastAsia="仿宋" w:cs="华文中宋"/>
          <w:bCs/>
          <w:sz w:val="32"/>
          <w:szCs w:val="32"/>
        </w:rPr>
        <w:t xml:space="preserve">财 政 部   农 业 部　　                                                                                             </w:t>
      </w:r>
    </w:p>
    <w:p>
      <w:pPr>
        <w:adjustRightInd w:val="0"/>
        <w:snapToGrid w:val="0"/>
        <w:spacing w:line="620" w:lineRule="exact"/>
        <w:jc w:val="both"/>
        <w:rPr>
          <w:rFonts w:hint="eastAsia" w:ascii="仿宋" w:hAnsi="仿宋" w:eastAsia="仿宋" w:cs="华文中宋"/>
          <w:bCs/>
          <w:sz w:val="32"/>
          <w:szCs w:val="32"/>
        </w:rPr>
      </w:pPr>
      <w:r>
        <w:rPr>
          <w:rFonts w:hint="eastAsia" w:ascii="仿宋" w:hAnsi="仿宋" w:eastAsia="仿宋" w:cs="华文中宋"/>
          <w:bCs/>
          <w:sz w:val="32"/>
          <w:szCs w:val="32"/>
          <w:lang w:val="en-US" w:eastAsia="zh-CN"/>
        </w:rPr>
        <w:t xml:space="preserve">                                       </w:t>
      </w:r>
      <w:r>
        <w:rPr>
          <w:rFonts w:hint="eastAsia" w:ascii="仿宋" w:hAnsi="仿宋" w:eastAsia="仿宋" w:cs="华文中宋"/>
          <w:bCs/>
          <w:sz w:val="32"/>
          <w:szCs w:val="32"/>
        </w:rPr>
        <w:t>2017年4月28日</w:t>
      </w: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p>
    <w:p>
      <w:pPr>
        <w:adjustRightInd w:val="0"/>
        <w:snapToGrid w:val="0"/>
        <w:spacing w:line="620" w:lineRule="exact"/>
        <w:jc w:val="left"/>
        <w:rPr>
          <w:rFonts w:hint="eastAsia" w:ascii="仿宋" w:hAnsi="仿宋" w:eastAsia="仿宋" w:cs="华文中宋"/>
          <w:bCs/>
          <w:sz w:val="32"/>
          <w:szCs w:val="32"/>
        </w:rPr>
      </w:pPr>
      <w:bookmarkStart w:id="0" w:name="_GoBack"/>
      <w:bookmarkEnd w:id="0"/>
    </w:p>
    <w:p>
      <w:pPr>
        <w:adjustRightInd w:val="0"/>
        <w:snapToGrid w:val="0"/>
        <w:spacing w:line="620" w:lineRule="exact"/>
        <w:jc w:val="left"/>
        <w:rPr>
          <w:rFonts w:ascii="仿宋" w:hAnsi="仿宋" w:eastAsia="仿宋" w:cs="华文中宋"/>
          <w:bCs/>
          <w:sz w:val="32"/>
          <w:szCs w:val="32"/>
        </w:rPr>
      </w:pPr>
      <w:r>
        <w:rPr>
          <w:rFonts w:hint="eastAsia" w:ascii="仿宋" w:hAnsi="仿宋" w:eastAsia="仿宋" w:cs="华文中宋"/>
          <w:bCs/>
          <w:sz w:val="32"/>
          <w:szCs w:val="32"/>
        </w:rPr>
        <w:t>附件</w:t>
      </w:r>
    </w:p>
    <w:p>
      <w:pPr>
        <w:adjustRightInd w:val="0"/>
        <w:snapToGrid w:val="0"/>
        <w:spacing w:line="620" w:lineRule="exact"/>
        <w:jc w:val="center"/>
        <w:outlineLvl w:val="0"/>
        <w:rPr>
          <w:rFonts w:hint="eastAsia" w:ascii="仿宋" w:hAnsi="仿宋" w:eastAsia="仿宋" w:cs="Times New Roman"/>
          <w:b/>
          <w:bCs/>
          <w:sz w:val="32"/>
          <w:szCs w:val="32"/>
        </w:rPr>
      </w:pPr>
    </w:p>
    <w:p>
      <w:pPr>
        <w:adjustRightInd w:val="0"/>
        <w:snapToGrid w:val="0"/>
        <w:spacing w:line="620" w:lineRule="exact"/>
        <w:jc w:val="center"/>
        <w:outlineLvl w:val="0"/>
        <w:rPr>
          <w:rFonts w:ascii="仿宋" w:hAnsi="仿宋" w:eastAsia="仿宋" w:cs="Times New Roman"/>
          <w:b/>
          <w:bCs/>
          <w:sz w:val="32"/>
          <w:szCs w:val="32"/>
        </w:rPr>
      </w:pPr>
    </w:p>
    <w:p>
      <w:pPr>
        <w:adjustRightInd w:val="0"/>
        <w:snapToGrid w:val="0"/>
        <w:spacing w:line="620" w:lineRule="exact"/>
        <w:jc w:val="center"/>
        <w:rPr>
          <w:rFonts w:ascii="仿宋" w:hAnsi="仿宋" w:eastAsia="仿宋" w:cs="Times New Roman"/>
          <w:b/>
          <w:bCs/>
          <w:sz w:val="36"/>
          <w:szCs w:val="36"/>
        </w:rPr>
      </w:pPr>
      <w:r>
        <w:rPr>
          <w:rFonts w:hint="eastAsia" w:ascii="仿宋" w:hAnsi="仿宋" w:eastAsia="仿宋" w:cs="华文中宋"/>
          <w:b/>
          <w:bCs/>
          <w:sz w:val="36"/>
          <w:szCs w:val="36"/>
        </w:rPr>
        <w:t>农业生产发展资金管理办法</w:t>
      </w:r>
    </w:p>
    <w:p>
      <w:pPr>
        <w:adjustRightInd w:val="0"/>
        <w:snapToGrid w:val="0"/>
        <w:spacing w:line="620" w:lineRule="exact"/>
        <w:jc w:val="center"/>
        <w:rPr>
          <w:rFonts w:ascii="仿宋" w:hAnsi="仿宋" w:eastAsia="仿宋" w:cs="Times New Roman"/>
          <w:b/>
          <w:bCs/>
          <w:sz w:val="32"/>
          <w:szCs w:val="32"/>
        </w:rPr>
      </w:pP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第一章  总则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为加强和规范农业生产发展资金管理，推进资金统筹使用，提高资金使用效益，增强农业综合生产能力，根据《中华人民共和国预算法》、《国务院关于印发推进财政资金统筹使用方案的通知》（国发〔</w:t>
      </w:r>
      <w:r>
        <w:rPr>
          <w:rFonts w:ascii="仿宋" w:hAnsi="仿宋" w:eastAsia="仿宋" w:cs="仿宋_GB2312"/>
          <w:sz w:val="32"/>
          <w:szCs w:val="32"/>
        </w:rPr>
        <w:t>2015</w:t>
      </w:r>
      <w:r>
        <w:rPr>
          <w:rFonts w:hint="eastAsia" w:ascii="仿宋" w:hAnsi="仿宋" w:eastAsia="仿宋" w:cs="仿宋_GB2312"/>
          <w:sz w:val="32"/>
          <w:szCs w:val="32"/>
        </w:rPr>
        <w:t>〕35号）、《中央对地方专项转移支付管理办法》（财预〔</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230</w:t>
      </w:r>
      <w:r>
        <w:rPr>
          <w:rFonts w:hint="eastAsia" w:ascii="仿宋" w:hAnsi="仿宋" w:eastAsia="仿宋" w:cs="仿宋_GB2312"/>
          <w:sz w:val="32"/>
          <w:szCs w:val="32"/>
        </w:rPr>
        <w:t>号）等有关法律法规，制定本办法。</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第二条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农业生产发展资金是中央财政公共预算安排用于促进农业生产、优化产业结构、推动产业融合、提高农业效能等的专项转移支付资金。</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第三条</w:t>
      </w:r>
      <w:r>
        <w:rPr>
          <w:rFonts w:ascii="仿宋" w:hAnsi="仿宋" w:eastAsia="仿宋" w:cs="Times New Roman"/>
          <w:b/>
          <w:bCs/>
          <w:sz w:val="32"/>
          <w:szCs w:val="32"/>
        </w:rPr>
        <w:t xml:space="preserve"> </w:t>
      </w:r>
      <w:r>
        <w:rPr>
          <w:rFonts w:hint="eastAsia" w:ascii="仿宋" w:hAnsi="仿宋" w:eastAsia="仿宋" w:cs="仿宋_GB2312"/>
          <w:sz w:val="32"/>
          <w:szCs w:val="32"/>
        </w:rPr>
        <w:t>农业生产发展资金由财政部会同农业部共同管理，按照“政策目标明确、分配办法科学、支出方向协调、绩效结果导向”的原则分配、使用和管理。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财政部负责农业生产发展资金中期财政规划和年度预算编制，会同农业部分配及下达资金，对资金使用情况进行监督和绩效管理。</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农业部负责相关产业发展规划编制，指导、推动和监督开展农业生产发展工作，会同财政部</w:t>
      </w:r>
      <w:r>
        <w:rPr>
          <w:rFonts w:hint="eastAsia" w:ascii="仿宋" w:hAnsi="仿宋" w:eastAsia="仿宋" w:cs="仿宋_GB2312"/>
          <w:sz w:val="32"/>
          <w:szCs w:val="32"/>
        </w:rPr>
        <w:t>下达年度工作任务（任务清单），</w:t>
      </w:r>
      <w:r>
        <w:rPr>
          <w:rFonts w:hint="eastAsia" w:ascii="仿宋" w:hAnsi="仿宋" w:eastAsia="仿宋" w:cs="Times New Roman"/>
          <w:sz w:val="32"/>
          <w:szCs w:val="32"/>
        </w:rPr>
        <w:t>做好资金测算、任务完成情况监督，绩效目标制定、绩效监控和评价等工作。</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第二章 资金支出范围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第四条 </w:t>
      </w:r>
      <w:r>
        <w:rPr>
          <w:rFonts w:hint="eastAsia" w:ascii="仿宋" w:hAnsi="仿宋" w:eastAsia="仿宋" w:cs="仿宋_GB2312"/>
          <w:sz w:val="32"/>
          <w:szCs w:val="32"/>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pPr>
        <w:adjustRightInd w:val="0"/>
        <w:snapToGrid w:val="0"/>
        <w:spacing w:line="620" w:lineRule="exact"/>
        <w:ind w:firstLine="643" w:firstLineChars="200"/>
        <w:rPr>
          <w:rFonts w:ascii="仿宋" w:hAnsi="仿宋" w:eastAsia="仿宋" w:cs="仿宋"/>
          <w:sz w:val="32"/>
          <w:szCs w:val="32"/>
        </w:rPr>
      </w:pPr>
      <w:r>
        <w:rPr>
          <w:rFonts w:hint="eastAsia" w:ascii="仿宋" w:hAnsi="仿宋" w:eastAsia="仿宋" w:cs="宋体"/>
          <w:b/>
          <w:bCs/>
          <w:sz w:val="32"/>
          <w:szCs w:val="32"/>
        </w:rPr>
        <w:t xml:space="preserve">第五条 </w:t>
      </w:r>
      <w:r>
        <w:rPr>
          <w:rFonts w:hint="eastAsia" w:ascii="仿宋" w:hAnsi="仿宋" w:eastAsia="仿宋" w:cs="仿宋"/>
          <w:sz w:val="32"/>
          <w:szCs w:val="32"/>
        </w:rPr>
        <w:t>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第六条 </w:t>
      </w:r>
      <w:r>
        <w:rPr>
          <w:rFonts w:hint="eastAsia" w:ascii="仿宋" w:hAnsi="仿宋" w:eastAsia="仿宋" w:cs="宋体"/>
          <w:sz w:val="32"/>
          <w:szCs w:val="32"/>
        </w:rPr>
        <w:t>适度规模经营支出主要用于支持农业信贷担保体系建设运营、农业生产社会化服务等方面。</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 xml:space="preserve">第七条 </w:t>
      </w:r>
      <w:r>
        <w:rPr>
          <w:rFonts w:hint="eastAsia" w:ascii="仿宋" w:hAnsi="仿宋" w:eastAsia="仿宋" w:cs="宋体"/>
          <w:sz w:val="32"/>
          <w:szCs w:val="32"/>
        </w:rPr>
        <w:t>农机购置补贴支出主要用于支持购置先进适用</w:t>
      </w:r>
      <w:r>
        <w:rPr>
          <w:rFonts w:hint="eastAsia" w:ascii="仿宋" w:hAnsi="仿宋" w:eastAsia="仿宋"/>
          <w:sz w:val="32"/>
          <w:szCs w:val="32"/>
        </w:rPr>
        <w:t>农业机械</w:t>
      </w:r>
      <w:r>
        <w:rPr>
          <w:rFonts w:hint="eastAsia" w:ascii="仿宋" w:hAnsi="仿宋" w:eastAsia="仿宋" w:cs="宋体"/>
          <w:sz w:val="32"/>
          <w:szCs w:val="32"/>
        </w:rPr>
        <w:t>，以及开展</w:t>
      </w:r>
      <w:r>
        <w:rPr>
          <w:rFonts w:hint="eastAsia" w:ascii="仿宋" w:hAnsi="仿宋" w:eastAsia="仿宋"/>
          <w:sz w:val="32"/>
          <w:szCs w:val="32"/>
        </w:rPr>
        <w:t>报废更新、新产品试点等方面。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第八条 </w:t>
      </w:r>
      <w:r>
        <w:rPr>
          <w:rFonts w:hint="eastAsia" w:ascii="仿宋" w:hAnsi="仿宋" w:eastAsia="仿宋" w:cs="宋体"/>
          <w:sz w:val="32"/>
          <w:szCs w:val="32"/>
        </w:rPr>
        <w:t>优势特色主导产业发展支出主要用于支持区域优势、地方特色的农业主导产业发展，国家现代农业产业园建设等方面。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第九条</w:t>
      </w:r>
      <w:r>
        <w:rPr>
          <w:rFonts w:hint="eastAsia" w:ascii="仿宋" w:hAnsi="仿宋" w:eastAsia="仿宋" w:cs="宋体"/>
          <w:sz w:val="32"/>
          <w:szCs w:val="32"/>
        </w:rPr>
        <w:t xml:space="preserve"> 绿色高效技术推广服务支出主要用于支持高产创建、良种良法、深松整地、施用有机肥、旱作农业等重大农业技术推广与服务，基层农技推广体系改革与建设等方面。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第十条 </w:t>
      </w:r>
      <w:r>
        <w:rPr>
          <w:rFonts w:hint="eastAsia" w:ascii="仿宋" w:hAnsi="仿宋" w:eastAsia="仿宋" w:cs="宋体"/>
          <w:sz w:val="32"/>
          <w:szCs w:val="32"/>
        </w:rPr>
        <w:t>畜牧水产发展支出主要用于支持畜禽粪污处理与资源化利用、南方现代草地畜牧业发展、优质高效苜蓿示范基地建设、畜牧水产标准化养殖及畜牧良种推广等方面。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第十一条 </w:t>
      </w:r>
      <w:r>
        <w:rPr>
          <w:rFonts w:hint="eastAsia" w:ascii="仿宋" w:hAnsi="仿宋" w:eastAsia="仿宋" w:cs="宋体"/>
          <w:sz w:val="32"/>
          <w:szCs w:val="32"/>
        </w:rPr>
        <w:t>农村一二三产业融合发展支出主要用于支持农产品产地初加工、产品流通和直供直销、农村电子商务、休闲农业、农业农村信息化等方面。</w:t>
      </w:r>
    </w:p>
    <w:p>
      <w:pPr>
        <w:adjustRightInd w:val="0"/>
        <w:snapToGrid w:val="0"/>
        <w:spacing w:line="6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 xml:space="preserve">第十二条 </w:t>
      </w:r>
      <w:r>
        <w:rPr>
          <w:rFonts w:hint="eastAsia" w:ascii="仿宋" w:hAnsi="仿宋" w:eastAsia="仿宋" w:cs="宋体"/>
          <w:sz w:val="32"/>
          <w:szCs w:val="32"/>
        </w:rPr>
        <w:t>农民专业合作社支出主要用于支持</w:t>
      </w:r>
      <w:r>
        <w:rPr>
          <w:rFonts w:hint="eastAsia" w:ascii="仿宋" w:hAnsi="仿宋" w:eastAsia="仿宋"/>
          <w:sz w:val="32"/>
          <w:szCs w:val="32"/>
        </w:rPr>
        <w:t>加快农民专业合作组织发展，提高农民组织化程度</w:t>
      </w:r>
      <w:r>
        <w:rPr>
          <w:rFonts w:hint="eastAsia" w:ascii="仿宋" w:hAnsi="仿宋" w:eastAsia="仿宋" w:cs="宋体"/>
          <w:sz w:val="32"/>
          <w:szCs w:val="32"/>
        </w:rPr>
        <w:t>等方面</w:t>
      </w:r>
      <w:r>
        <w:rPr>
          <w:rFonts w:ascii="仿宋" w:hAnsi="仿宋" w:eastAsia="仿宋"/>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第十三条 </w:t>
      </w:r>
      <w:r>
        <w:rPr>
          <w:rFonts w:hint="eastAsia" w:ascii="仿宋" w:hAnsi="仿宋" w:eastAsia="仿宋" w:cs="宋体"/>
          <w:sz w:val="32"/>
          <w:szCs w:val="32"/>
        </w:rPr>
        <w:t>农业结构调整支出主要用于支持粮改豆、粮改饲、耕地休耕、重金属污染耕地修复及种植结构调整等方面。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第十四条 </w:t>
      </w:r>
      <w:r>
        <w:rPr>
          <w:rFonts w:hint="eastAsia" w:ascii="仿宋" w:hAnsi="仿宋" w:eastAsia="仿宋" w:cs="宋体"/>
          <w:sz w:val="32"/>
          <w:szCs w:val="32"/>
        </w:rPr>
        <w:t>地下水超采区综合治理支出主要用于</w:t>
      </w:r>
      <w:r>
        <w:rPr>
          <w:rFonts w:ascii="仿宋" w:hAnsi="仿宋" w:eastAsia="仿宋"/>
          <w:sz w:val="32"/>
          <w:szCs w:val="32"/>
        </w:rPr>
        <w:t>支持地下水超采重点地区开展</w:t>
      </w:r>
      <w:r>
        <w:rPr>
          <w:rFonts w:hint="eastAsia" w:ascii="仿宋" w:hAnsi="仿宋" w:eastAsia="仿宋"/>
          <w:sz w:val="32"/>
          <w:szCs w:val="32"/>
        </w:rPr>
        <w:t>农业</w:t>
      </w:r>
      <w:r>
        <w:rPr>
          <w:rFonts w:ascii="仿宋" w:hAnsi="仿宋" w:eastAsia="仿宋"/>
          <w:sz w:val="32"/>
          <w:szCs w:val="32"/>
        </w:rPr>
        <w:t>种植结构调整</w:t>
      </w:r>
      <w:r>
        <w:rPr>
          <w:rFonts w:hint="eastAsia" w:ascii="仿宋" w:hAnsi="仿宋" w:eastAsia="仿宋"/>
          <w:sz w:val="32"/>
          <w:szCs w:val="32"/>
        </w:rPr>
        <w:t>等方面</w:t>
      </w:r>
      <w:r>
        <w:rPr>
          <w:rFonts w:hint="eastAsia" w:ascii="仿宋" w:hAnsi="仿宋" w:eastAsia="仿宋" w:cs="宋体"/>
          <w:sz w:val="32"/>
          <w:szCs w:val="32"/>
        </w:rPr>
        <w:t>。</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第十五条 </w:t>
      </w:r>
      <w:r>
        <w:rPr>
          <w:rFonts w:hint="eastAsia" w:ascii="仿宋" w:hAnsi="仿宋" w:eastAsia="仿宋" w:cs="宋体"/>
          <w:sz w:val="32"/>
          <w:szCs w:val="32"/>
        </w:rPr>
        <w:t>新型职业农民培育支出主要用于支持培育新型职业农民等方面。</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第十六条</w:t>
      </w:r>
      <w:r>
        <w:rPr>
          <w:rFonts w:hint="eastAsia" w:ascii="仿宋" w:hAnsi="仿宋" w:eastAsia="仿宋" w:cs="宋体"/>
          <w:sz w:val="32"/>
          <w:szCs w:val="32"/>
        </w:rPr>
        <w:t xml:space="preserve"> 农业生产发展资金不得用于兴建楼堂馆所、弥补预算支出缺口等与农业生产发展无关的支出。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 xml:space="preserve">第十七条 </w:t>
      </w:r>
      <w:r>
        <w:rPr>
          <w:rFonts w:hint="eastAsia" w:ascii="仿宋" w:hAnsi="仿宋" w:eastAsia="仿宋" w:cs="宋体"/>
          <w:sz w:val="32"/>
          <w:szCs w:val="32"/>
        </w:rPr>
        <w:t>农业生产发展资金的支持对象主要是农民，新型农业经营主体，以及承担项目任务的单位和个人。</w:t>
      </w:r>
    </w:p>
    <w:p>
      <w:pPr>
        <w:adjustRightInd w:val="0"/>
        <w:snapToGrid w:val="0"/>
        <w:spacing w:line="620" w:lineRule="exact"/>
        <w:ind w:firstLine="643" w:firstLineChars="200"/>
        <w:rPr>
          <w:rFonts w:ascii="仿宋" w:hAnsi="仿宋" w:eastAsia="仿宋" w:cs="宋体"/>
          <w:sz w:val="32"/>
          <w:szCs w:val="32"/>
        </w:rPr>
      </w:pPr>
      <w:r>
        <w:rPr>
          <w:rFonts w:hint="eastAsia" w:ascii="仿宋" w:hAnsi="仿宋" w:eastAsia="仿宋" w:cs="宋体"/>
          <w:b/>
          <w:bCs/>
          <w:sz w:val="32"/>
          <w:szCs w:val="32"/>
        </w:rPr>
        <w:t>第十八条</w:t>
      </w:r>
      <w:r>
        <w:rPr>
          <w:rFonts w:hint="eastAsia" w:ascii="仿宋" w:hAnsi="仿宋" w:eastAsia="仿宋" w:cs="宋体"/>
          <w:sz w:val="32"/>
          <w:szCs w:val="32"/>
        </w:rPr>
        <w:t xml:space="preserve"> 农业生产发展资金可以采取直接补助、政府购买服务、贴息、先建后补、以奖代补、资产折股量化、担保补助、设立基金等支持方式。具体由省级财政部门商农业主管部门确定。</w:t>
      </w:r>
    </w:p>
    <w:p>
      <w:pPr>
        <w:adjustRightInd w:val="0"/>
        <w:snapToGrid w:val="0"/>
        <w:spacing w:line="620" w:lineRule="exact"/>
        <w:jc w:val="center"/>
        <w:rPr>
          <w:rFonts w:ascii="黑体" w:hAnsi="黑体" w:eastAsia="黑体" w:cs="楷体_GB2312"/>
          <w:bCs/>
          <w:sz w:val="32"/>
          <w:szCs w:val="32"/>
        </w:rPr>
      </w:pPr>
      <w:r>
        <w:rPr>
          <w:rFonts w:hint="eastAsia" w:ascii="黑体" w:hAnsi="黑体" w:eastAsia="黑体" w:cs="楷体_GB2312"/>
          <w:bCs/>
          <w:sz w:val="32"/>
          <w:szCs w:val="32"/>
        </w:rPr>
        <w:t>第三章</w:t>
      </w:r>
      <w:r>
        <w:rPr>
          <w:rFonts w:ascii="黑体" w:hAnsi="黑体" w:eastAsia="黑体" w:cs="楷体_GB2312"/>
          <w:bCs/>
          <w:sz w:val="32"/>
          <w:szCs w:val="32"/>
        </w:rPr>
        <w:t xml:space="preserve">  </w:t>
      </w:r>
      <w:r>
        <w:rPr>
          <w:rFonts w:hint="eastAsia" w:ascii="黑体" w:hAnsi="黑体" w:eastAsia="黑体" w:cs="楷体_GB2312"/>
          <w:bCs/>
          <w:sz w:val="32"/>
          <w:szCs w:val="32"/>
        </w:rPr>
        <w:t>资金分配和下达</w:t>
      </w:r>
    </w:p>
    <w:p>
      <w:pPr>
        <w:adjustRightInd w:val="0"/>
        <w:snapToGrid w:val="0"/>
        <w:spacing w:line="620" w:lineRule="exact"/>
        <w:ind w:firstLine="630"/>
        <w:rPr>
          <w:rFonts w:ascii="仿宋" w:hAnsi="仿宋" w:eastAsia="仿宋" w:cs="仿宋_GB2312"/>
          <w:sz w:val="32"/>
          <w:szCs w:val="32"/>
        </w:rPr>
      </w:pPr>
      <w:r>
        <w:rPr>
          <w:rFonts w:hint="eastAsia" w:ascii="仿宋" w:hAnsi="仿宋" w:eastAsia="仿宋" w:cs="宋体"/>
          <w:b/>
          <w:bCs/>
          <w:sz w:val="32"/>
          <w:szCs w:val="32"/>
        </w:rPr>
        <w:t>第十九条</w:t>
      </w:r>
      <w:r>
        <w:rPr>
          <w:rFonts w:ascii="仿宋" w:hAnsi="仿宋" w:eastAsia="仿宋" w:cs="仿宋_GB2312"/>
          <w:sz w:val="32"/>
          <w:szCs w:val="32"/>
        </w:rPr>
        <w:t xml:space="preserve"> </w:t>
      </w:r>
      <w:r>
        <w:rPr>
          <w:rFonts w:hint="eastAsia" w:ascii="仿宋" w:hAnsi="仿宋" w:eastAsia="仿宋" w:cs="仿宋_GB2312"/>
          <w:sz w:val="32"/>
          <w:szCs w:val="32"/>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pPr>
        <w:tabs>
          <w:tab w:val="left" w:pos="2895"/>
        </w:tabs>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第二十条</w:t>
      </w:r>
      <w:r>
        <w:rPr>
          <w:rFonts w:ascii="仿宋" w:hAnsi="仿宋" w:eastAsia="仿宋" w:cs="仿宋_GB2312"/>
          <w:b/>
          <w:bCs/>
          <w:sz w:val="32"/>
          <w:szCs w:val="32"/>
        </w:rPr>
        <w:t xml:space="preserve"> </w:t>
      </w:r>
      <w:r>
        <w:rPr>
          <w:rFonts w:hint="eastAsia" w:ascii="仿宋" w:hAnsi="仿宋" w:eastAsia="仿宋" w:cs="仿宋_GB2312"/>
          <w:sz w:val="32"/>
          <w:szCs w:val="32"/>
        </w:rPr>
        <w:t>农业部于每年5月15日前，提出当年农业生产发展资金分支出方向的各省分配建议，函报财政部。</w:t>
      </w:r>
    </w:p>
    <w:p>
      <w:pPr>
        <w:tabs>
          <w:tab w:val="left" w:pos="2895"/>
        </w:tabs>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第二十一条 </w:t>
      </w:r>
      <w:r>
        <w:rPr>
          <w:rFonts w:hint="eastAsia" w:ascii="仿宋" w:hAnsi="仿宋" w:eastAsia="仿宋" w:cs="仿宋_GB2312"/>
          <w:sz w:val="32"/>
          <w:szCs w:val="32"/>
        </w:rPr>
        <w:t>财政部在全国人民代表大会批准预算后</w:t>
      </w:r>
      <w:r>
        <w:rPr>
          <w:rFonts w:ascii="仿宋" w:hAnsi="仿宋" w:eastAsia="仿宋" w:cs="仿宋_GB2312"/>
          <w:sz w:val="32"/>
          <w:szCs w:val="32"/>
        </w:rPr>
        <w:t>90</w:t>
      </w:r>
      <w:r>
        <w:rPr>
          <w:rFonts w:hint="eastAsia" w:ascii="仿宋" w:hAnsi="仿宋" w:eastAsia="仿宋" w:cs="仿宋_GB2312"/>
          <w:sz w:val="32"/>
          <w:szCs w:val="32"/>
        </w:rPr>
        <w:t>日内，根据年度预算安排和农业部分配建议函等，审核下达当年农业生产发展资金，抄送农业部和各地专员办。农业生产发展资金分配结果在预算下达文件印发后</w:t>
      </w:r>
      <w:r>
        <w:rPr>
          <w:rFonts w:ascii="仿宋" w:hAnsi="仿宋" w:eastAsia="仿宋" w:cs="仿宋_GB2312"/>
          <w:sz w:val="32"/>
          <w:szCs w:val="32"/>
        </w:rPr>
        <w:t>20</w:t>
      </w:r>
      <w:r>
        <w:rPr>
          <w:rFonts w:hint="eastAsia" w:ascii="仿宋" w:hAnsi="仿宋" w:eastAsia="仿宋" w:cs="仿宋_GB2312"/>
          <w:sz w:val="32"/>
          <w:szCs w:val="32"/>
        </w:rPr>
        <w:t>日内向社会公开。</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第二十二条</w:t>
      </w:r>
      <w:r>
        <w:rPr>
          <w:rFonts w:hint="eastAsia" w:ascii="仿宋" w:hAnsi="仿宋" w:eastAsia="仿宋" w:cs="黑体"/>
          <w:sz w:val="32"/>
          <w:szCs w:val="32"/>
        </w:rPr>
        <w:t xml:space="preserve"> </w:t>
      </w:r>
      <w:r>
        <w:rPr>
          <w:rFonts w:hint="eastAsia" w:ascii="仿宋" w:hAnsi="仿宋" w:eastAsia="仿宋" w:cs="仿宋_GB2312"/>
          <w:sz w:val="32"/>
          <w:szCs w:val="32"/>
        </w:rPr>
        <w:t>农业生产发展资金的支付，按照国库集中支付制度有关规定执行。属于政府采购管理范围的，按照政府采购有关规定执行。</w:t>
      </w:r>
    </w:p>
    <w:p>
      <w:pPr>
        <w:adjustRightInd w:val="0"/>
        <w:snapToGrid w:val="0"/>
        <w:spacing w:line="6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用于耕地地力保护的资金</w:t>
      </w:r>
      <w:r>
        <w:rPr>
          <w:rFonts w:hint="eastAsia" w:ascii="仿宋" w:hAnsi="仿宋" w:eastAsia="仿宋" w:cs="Times New Roman"/>
          <w:sz w:val="32"/>
          <w:szCs w:val="32"/>
        </w:rPr>
        <w:t>，按规定通过粮食风险基金专户下达拨付。</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第四章</w:t>
      </w:r>
      <w:r>
        <w:rPr>
          <w:rFonts w:ascii="黑体" w:hAnsi="黑体" w:eastAsia="黑体" w:cs="宋体"/>
          <w:bCs/>
          <w:sz w:val="32"/>
          <w:szCs w:val="32"/>
        </w:rPr>
        <w:t xml:space="preserve">  </w:t>
      </w:r>
      <w:r>
        <w:rPr>
          <w:rFonts w:hint="eastAsia" w:ascii="黑体" w:hAnsi="黑体" w:eastAsia="黑体" w:cs="宋体"/>
          <w:bCs/>
          <w:sz w:val="32"/>
          <w:szCs w:val="32"/>
        </w:rPr>
        <w:t>资金使用和管理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第二十三条</w:t>
      </w:r>
      <w:r>
        <w:rPr>
          <w:rFonts w:ascii="仿宋" w:hAnsi="仿宋" w:eastAsia="仿宋" w:cs="黑体"/>
          <w:sz w:val="32"/>
          <w:szCs w:val="32"/>
        </w:rPr>
        <w:t xml:space="preserve"> </w:t>
      </w:r>
      <w:r>
        <w:rPr>
          <w:rFonts w:hint="eastAsia" w:ascii="仿宋" w:hAnsi="仿宋" w:eastAsia="仿宋" w:cs="仿宋_GB2312"/>
          <w:sz w:val="32"/>
          <w:szCs w:val="32"/>
        </w:rPr>
        <w:t>农业生产发展资金实行“大专项+任务清单”管理方式，除用于约束性任务的资金不允许统筹以外，各省可对其他资金在本专项的支出方向范围内统筹使用，并应当全面落实预算信息公开的要求。</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第二十四条</w:t>
      </w:r>
      <w:r>
        <w:rPr>
          <w:rFonts w:hint="eastAsia" w:ascii="仿宋" w:hAnsi="仿宋" w:eastAsia="仿宋" w:cs="仿宋_GB2312"/>
          <w:sz w:val="32"/>
          <w:szCs w:val="32"/>
        </w:rPr>
        <w:t xml:space="preserve"> 各级财政、农业主管部门应当加快预算执行，提高资金使用效益。结转结余的农业生产发展资金，按照财政部关于结转结余资金管理的有关规定处理。</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第二十五条</w:t>
      </w:r>
      <w:r>
        <w:rPr>
          <w:rFonts w:ascii="仿宋" w:hAnsi="仿宋" w:eastAsia="仿宋" w:cs="宋体"/>
          <w:b/>
          <w:bCs/>
          <w:sz w:val="32"/>
          <w:szCs w:val="32"/>
        </w:rPr>
        <w:t xml:space="preserve"> </w:t>
      </w:r>
      <w:r>
        <w:rPr>
          <w:rFonts w:hint="eastAsia" w:ascii="仿宋" w:hAnsi="仿宋" w:eastAsia="仿宋" w:cs="仿宋_GB2312"/>
          <w:sz w:val="32"/>
          <w:szCs w:val="32"/>
        </w:rPr>
        <w:t>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第二十六条 </w:t>
      </w:r>
      <w:r>
        <w:rPr>
          <w:rFonts w:hint="eastAsia" w:ascii="仿宋" w:hAnsi="仿宋" w:eastAsia="仿宋" w:cs="仿宋_GB2312"/>
          <w:sz w:val="32"/>
          <w:szCs w:val="32"/>
        </w:rPr>
        <w:t>各级农业主管部门应当组织核实资金支持对象的资格、条件，督促检查工作任务（任务清单）完成情况，为财政部门按规定标准分配、审核拨付资金提供依据。</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第五章</w:t>
      </w:r>
      <w:r>
        <w:rPr>
          <w:rFonts w:ascii="黑体" w:hAnsi="黑体" w:eastAsia="黑体" w:cs="宋体"/>
          <w:bCs/>
          <w:sz w:val="32"/>
          <w:szCs w:val="32"/>
        </w:rPr>
        <w:t xml:space="preserve">  </w:t>
      </w:r>
      <w:r>
        <w:rPr>
          <w:rFonts w:hint="eastAsia" w:ascii="黑体" w:hAnsi="黑体" w:eastAsia="黑体" w:cs="宋体"/>
          <w:bCs/>
          <w:sz w:val="32"/>
          <w:szCs w:val="32"/>
        </w:rPr>
        <w:t>监督检查和绩效评价</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 xml:space="preserve">第二十七条 </w:t>
      </w:r>
      <w:r>
        <w:rPr>
          <w:rFonts w:hint="eastAsia" w:ascii="仿宋" w:hAnsi="仿宋" w:eastAsia="仿宋" w:cs="仿宋_GB2312"/>
          <w:sz w:val="32"/>
          <w:szCs w:val="32"/>
        </w:rPr>
        <w:t>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 xml:space="preserve">第二十八条 </w:t>
      </w:r>
      <w:r>
        <w:rPr>
          <w:rFonts w:hint="eastAsia" w:ascii="仿宋" w:hAnsi="仿宋" w:eastAsia="仿宋" w:cs="仿宋_GB2312"/>
          <w:sz w:val="32"/>
          <w:szCs w:val="32"/>
        </w:rPr>
        <w:t>农业生产发展资金使用管理实行绩效评价制度，评价结果作为农业生产发展资金分配的重要依据。农业生产发展资金绩效管理办法另行制定。</w:t>
      </w:r>
    </w:p>
    <w:p>
      <w:pPr>
        <w:adjustRightInd w:val="0"/>
        <w:snapToGrid w:val="0"/>
        <w:spacing w:line="620" w:lineRule="exact"/>
        <w:ind w:firstLine="643" w:firstLineChars="200"/>
        <w:rPr>
          <w:rFonts w:ascii="仿宋" w:hAnsi="仿宋" w:eastAsia="仿宋" w:cs="仿宋_GB2312"/>
          <w:sz w:val="32"/>
          <w:szCs w:val="32"/>
        </w:rPr>
      </w:pPr>
      <w:r>
        <w:rPr>
          <w:rFonts w:hint="eastAsia" w:ascii="仿宋" w:hAnsi="仿宋" w:eastAsia="仿宋" w:cs="宋体"/>
          <w:b/>
          <w:bCs/>
          <w:sz w:val="32"/>
          <w:szCs w:val="32"/>
        </w:rPr>
        <w:t>第二十九条</w:t>
      </w:r>
      <w:r>
        <w:rPr>
          <w:rFonts w:hint="eastAsia" w:ascii="仿宋" w:hAnsi="仿宋" w:eastAsia="仿宋" w:cs="黑体"/>
          <w:sz w:val="32"/>
          <w:szCs w:val="32"/>
        </w:rPr>
        <w:t xml:space="preserve"> </w:t>
      </w:r>
      <w:r>
        <w:rPr>
          <w:rFonts w:hint="eastAsia" w:ascii="仿宋" w:hAnsi="仿宋" w:eastAsia="仿宋" w:cs="仿宋_GB2312"/>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pPr>
        <w:adjustRightInd w:val="0"/>
        <w:snapToGrid w:val="0"/>
        <w:spacing w:line="620" w:lineRule="exact"/>
        <w:ind w:firstLine="643" w:firstLineChars="200"/>
        <w:rPr>
          <w:rFonts w:ascii="仿宋" w:hAnsi="仿宋" w:eastAsia="仿宋" w:cs="宋体"/>
          <w:bCs/>
          <w:sz w:val="32"/>
          <w:szCs w:val="32"/>
        </w:rPr>
      </w:pPr>
      <w:r>
        <w:rPr>
          <w:rFonts w:hint="eastAsia" w:ascii="仿宋" w:hAnsi="仿宋" w:eastAsia="仿宋" w:cs="宋体"/>
          <w:b/>
          <w:bCs/>
          <w:sz w:val="32"/>
          <w:szCs w:val="32"/>
        </w:rPr>
        <w:t>第三十条</w:t>
      </w:r>
      <w:r>
        <w:rPr>
          <w:rFonts w:hint="eastAsia" w:ascii="仿宋" w:hAnsi="仿宋" w:eastAsia="仿宋" w:cs="仿宋_GB2312"/>
          <w:sz w:val="32"/>
          <w:szCs w:val="32"/>
        </w:rPr>
        <w:t xml:space="preserve"> 资金使用单位和个人虚报冒领、骗取套取、挤占挪用农业生产发展资金，以及存在其他违反本办法规定行为的，按照《预算法》、《财政违法行为处罚处分条例》等有关规定追究相应责任</w:t>
      </w:r>
      <w:r>
        <w:rPr>
          <w:rFonts w:hint="eastAsia" w:ascii="仿宋" w:hAnsi="仿宋" w:eastAsia="仿宋" w:cs="仿宋_GB2312"/>
          <w:kern w:val="0"/>
          <w:sz w:val="32"/>
          <w:szCs w:val="32"/>
        </w:rPr>
        <w:t>。</w:t>
      </w:r>
    </w:p>
    <w:p>
      <w:pPr>
        <w:adjustRightInd w:val="0"/>
        <w:snapToGrid w:val="0"/>
        <w:spacing w:line="620" w:lineRule="exact"/>
        <w:jc w:val="center"/>
        <w:rPr>
          <w:rFonts w:ascii="黑体" w:hAnsi="黑体" w:eastAsia="黑体" w:cs="宋体"/>
          <w:bCs/>
          <w:sz w:val="32"/>
          <w:szCs w:val="32"/>
        </w:rPr>
      </w:pPr>
      <w:r>
        <w:rPr>
          <w:rFonts w:hint="eastAsia" w:ascii="黑体" w:hAnsi="黑体" w:eastAsia="黑体" w:cs="宋体"/>
          <w:bCs/>
          <w:sz w:val="32"/>
          <w:szCs w:val="32"/>
        </w:rPr>
        <w:t>第六章  附则</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第三十一条</w:t>
      </w:r>
      <w:r>
        <w:rPr>
          <w:rFonts w:ascii="仿宋" w:hAnsi="仿宋" w:eastAsia="仿宋" w:cs="楷体_GB2312"/>
          <w:b/>
          <w:bCs/>
          <w:sz w:val="32"/>
          <w:szCs w:val="32"/>
        </w:rPr>
        <w:t xml:space="preserve"> </w:t>
      </w:r>
      <w:r>
        <w:rPr>
          <w:rFonts w:hint="eastAsia" w:ascii="仿宋" w:hAnsi="仿宋" w:eastAsia="仿宋" w:cs="仿宋_GB2312"/>
          <w:sz w:val="32"/>
          <w:szCs w:val="32"/>
        </w:rPr>
        <w:t>农业生产发展资金中用于支持贫困县开展统筹整合使用财政涉农资金试点的部分，按照有关规定执行。</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第三十二条</w:t>
      </w:r>
      <w:r>
        <w:rPr>
          <w:rFonts w:ascii="仿宋" w:hAnsi="仿宋" w:eastAsia="仿宋" w:cs="黑体"/>
          <w:sz w:val="32"/>
          <w:szCs w:val="32"/>
        </w:rPr>
        <w:t xml:space="preserve"> </w:t>
      </w:r>
      <w:r>
        <w:rPr>
          <w:rFonts w:hint="eastAsia" w:ascii="仿宋" w:hAnsi="仿宋" w:eastAsia="仿宋" w:cs="仿宋_GB2312"/>
          <w:sz w:val="32"/>
          <w:szCs w:val="32"/>
        </w:rPr>
        <w:t>省级财政部门应当会同农业主管部门根据本办法制定实施细则，报送财政部和农业部，抄送当地专员办。</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第三十三条</w:t>
      </w:r>
      <w:r>
        <w:rPr>
          <w:rFonts w:ascii="仿宋" w:hAnsi="仿宋" w:eastAsia="仿宋" w:cs="黑体"/>
          <w:sz w:val="32"/>
          <w:szCs w:val="32"/>
        </w:rPr>
        <w:t xml:space="preserve"> </w:t>
      </w:r>
      <w:r>
        <w:rPr>
          <w:rFonts w:hint="eastAsia" w:ascii="仿宋" w:hAnsi="仿宋" w:eastAsia="仿宋" w:cs="仿宋_GB2312"/>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pPr>
        <w:adjustRightInd w:val="0"/>
        <w:snapToGrid w:val="0"/>
        <w:spacing w:line="620" w:lineRule="exact"/>
        <w:ind w:firstLine="643" w:firstLineChars="200"/>
        <w:rPr>
          <w:rFonts w:ascii="仿宋" w:hAnsi="仿宋" w:eastAsia="仿宋" w:cs="Times New Roman"/>
          <w:sz w:val="32"/>
          <w:szCs w:val="32"/>
        </w:rPr>
      </w:pPr>
      <w:r>
        <w:rPr>
          <w:rFonts w:hint="eastAsia" w:ascii="仿宋" w:hAnsi="仿宋" w:eastAsia="仿宋" w:cs="宋体"/>
          <w:b/>
          <w:bCs/>
          <w:sz w:val="32"/>
          <w:szCs w:val="32"/>
        </w:rPr>
        <w:t>第三十四条</w:t>
      </w:r>
      <w:r>
        <w:rPr>
          <w:rFonts w:ascii="仿宋" w:hAnsi="仿宋" w:eastAsia="仿宋" w:cs="仿宋_GB2312"/>
          <w:sz w:val="32"/>
          <w:szCs w:val="32"/>
        </w:rPr>
        <w:t xml:space="preserve"> </w:t>
      </w:r>
      <w:r>
        <w:rPr>
          <w:rFonts w:hint="eastAsia" w:ascii="仿宋" w:hAnsi="仿宋" w:eastAsia="仿宋" w:cs="仿宋_GB2312"/>
          <w:sz w:val="32"/>
          <w:szCs w:val="32"/>
        </w:rPr>
        <w:t>本办法由财政部会同农业部负责解释。</w:t>
      </w:r>
    </w:p>
    <w:p>
      <w:pPr>
        <w:adjustRightInd w:val="0"/>
        <w:snapToGrid w:val="0"/>
        <w:spacing w:line="620" w:lineRule="exact"/>
        <w:ind w:firstLine="643" w:firstLineChars="200"/>
        <w:rPr>
          <w:rFonts w:ascii="仿宋" w:hAnsi="仿宋" w:eastAsia="仿宋"/>
          <w:sz w:val="32"/>
          <w:szCs w:val="32"/>
        </w:rPr>
      </w:pPr>
      <w:r>
        <w:rPr>
          <w:rFonts w:hint="eastAsia" w:ascii="仿宋" w:hAnsi="仿宋" w:eastAsia="仿宋" w:cs="宋体"/>
          <w:b/>
          <w:bCs/>
          <w:sz w:val="32"/>
          <w:szCs w:val="32"/>
        </w:rPr>
        <w:t>第三十五条</w:t>
      </w:r>
      <w:r>
        <w:rPr>
          <w:rFonts w:ascii="仿宋" w:hAnsi="仿宋" w:eastAsia="仿宋" w:cs="仿宋_GB2312"/>
          <w:b/>
          <w:bCs/>
          <w:sz w:val="32"/>
          <w:szCs w:val="32"/>
        </w:rPr>
        <w:t xml:space="preserve"> </w:t>
      </w:r>
      <w:r>
        <w:rPr>
          <w:rFonts w:hint="eastAsia" w:ascii="仿宋" w:hAnsi="仿宋" w:eastAsia="仿宋" w:cs="仿宋_GB2312"/>
          <w:sz w:val="32"/>
          <w:szCs w:val="32"/>
        </w:rPr>
        <w:t>本办法自2017年6月1日起施行。《财政部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农业部关于印发〈农业机械购置补贴专项资金使用管理暂行办法〉的通知》（财农〔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农业部关于印发〈农村劳动力转移培训财政补助资金管理办法〉的通知》（财农〔</w:t>
      </w:r>
      <w:r>
        <w:rPr>
          <w:rFonts w:ascii="仿宋" w:hAnsi="仿宋" w:eastAsia="仿宋" w:cs="仿宋_GB2312"/>
          <w:sz w:val="32"/>
          <w:szCs w:val="32"/>
        </w:rPr>
        <w:t>2005</w:t>
      </w:r>
      <w:r>
        <w:rPr>
          <w:rFonts w:hint="eastAsia" w:ascii="仿宋" w:hAnsi="仿宋" w:eastAsia="仿宋" w:cs="仿宋_GB2312"/>
          <w:sz w:val="32"/>
          <w:szCs w:val="32"/>
        </w:rPr>
        <w:t>〕</w:t>
      </w:r>
      <w:r>
        <w:rPr>
          <w:rFonts w:ascii="仿宋" w:hAnsi="仿宋" w:eastAsia="仿宋" w:cs="仿宋_GB2312"/>
          <w:sz w:val="32"/>
          <w:szCs w:val="32"/>
        </w:rPr>
        <w:t>18</w:t>
      </w:r>
      <w:r>
        <w:rPr>
          <w:rFonts w:hint="eastAsia" w:ascii="仿宋" w:hAnsi="仿宋" w:eastAsia="仿宋" w:cs="仿宋_GB2312"/>
          <w:sz w:val="32"/>
          <w:szCs w:val="32"/>
        </w:rPr>
        <w:t>号）、《财政部关于印发〈能繁母猪补贴资金管理暂行办法〉的通知》（财农〔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7〕160号）、《财政部 农业部关于印发〈奶牛良种补贴资金管理暂行办法〉的通知》（财农〔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7〕164号）、《财政部 农业部关于印发〈生猪良种补贴资金管理暂行办法〉的通知》（财农〔</w:t>
      </w:r>
      <w:r>
        <w:rPr>
          <w:rFonts w:ascii="仿宋" w:hAnsi="仿宋" w:eastAsia="仿宋" w:cs="仿宋_GB2312"/>
          <w:sz w:val="32"/>
          <w:szCs w:val="32"/>
        </w:rPr>
        <w:t>200</w:t>
      </w:r>
      <w:r>
        <w:rPr>
          <w:rFonts w:hint="eastAsia" w:ascii="仿宋" w:hAnsi="仿宋" w:eastAsia="仿宋" w:cs="仿宋_GB2312"/>
          <w:sz w:val="32"/>
          <w:szCs w:val="32"/>
        </w:rPr>
        <w:t>7〕186号）、《财政部关于印发〈中央财政财政支农政策培训补助资金管理暂行办法〉的通知》（财办〔</w:t>
      </w:r>
      <w:r>
        <w:rPr>
          <w:rFonts w:ascii="仿宋" w:hAnsi="仿宋" w:eastAsia="仿宋" w:cs="仿宋_GB2312"/>
          <w:sz w:val="32"/>
          <w:szCs w:val="32"/>
        </w:rPr>
        <w:t>2012</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中央财政现代农业生产发展资金管理办法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号）、《财政部关于印发〈</w:t>
      </w:r>
      <w:r>
        <w:rPr>
          <w:rFonts w:hint="eastAsia" w:ascii="仿宋" w:hAnsi="仿宋" w:eastAsia="仿宋" w:cs="仿宋_GB2312"/>
          <w:bCs/>
          <w:sz w:val="32"/>
          <w:szCs w:val="32"/>
        </w:rPr>
        <w:t>中央财政农民专业合作组织发展资金管理办法</w:t>
      </w:r>
      <w:r>
        <w:rPr>
          <w:rFonts w:hint="eastAsia" w:ascii="仿宋" w:hAnsi="仿宋" w:eastAsia="仿宋" w:cs="仿宋_GB2312"/>
          <w:sz w:val="32"/>
          <w:szCs w:val="32"/>
        </w:rPr>
        <w:t>〉的通知》（财农〔</w:t>
      </w:r>
      <w:r>
        <w:rPr>
          <w:rFonts w:ascii="仿宋" w:hAnsi="仿宋" w:eastAsia="仿宋" w:cs="仿宋_GB2312"/>
          <w:sz w:val="32"/>
          <w:szCs w:val="32"/>
        </w:rPr>
        <w:t>20</w:t>
      </w:r>
      <w:r>
        <w:rPr>
          <w:rFonts w:hint="eastAsia" w:ascii="仿宋" w:hAnsi="仿宋" w:eastAsia="仿宋" w:cs="仿宋_GB2312"/>
          <w:sz w:val="32"/>
          <w:szCs w:val="32"/>
        </w:rPr>
        <w:t>13〕</w:t>
      </w:r>
      <w:r>
        <w:rPr>
          <w:rFonts w:ascii="仿宋" w:hAnsi="仿宋" w:eastAsia="仿宋" w:cs="仿宋_GB2312"/>
          <w:sz w:val="32"/>
          <w:szCs w:val="32"/>
        </w:rPr>
        <w:t>1</w:t>
      </w:r>
      <w:r>
        <w:rPr>
          <w:rFonts w:hint="eastAsia" w:ascii="仿宋" w:hAnsi="仿宋" w:eastAsia="仿宋" w:cs="仿宋_GB2312"/>
          <w:sz w:val="32"/>
          <w:szCs w:val="32"/>
        </w:rPr>
        <w:t>56号）、《财政部</w:t>
      </w:r>
      <w:r>
        <w:rPr>
          <w:rFonts w:ascii="仿宋" w:hAnsi="仿宋" w:eastAsia="仿宋" w:cs="仿宋_GB2312"/>
          <w:sz w:val="32"/>
          <w:szCs w:val="32"/>
        </w:rPr>
        <w:t xml:space="preserve"> </w:t>
      </w:r>
      <w:r>
        <w:rPr>
          <w:rFonts w:hint="eastAsia" w:ascii="仿宋" w:hAnsi="仿宋" w:eastAsia="仿宋" w:cs="仿宋_GB2312"/>
          <w:sz w:val="32"/>
          <w:szCs w:val="32"/>
        </w:rPr>
        <w:t>科技部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农业部关于印发〈中央财政农业科技成果转化与技术推广服务补助资金管理办法〉的通知》（财农〔</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31</w:t>
      </w:r>
      <w:r>
        <w:rPr>
          <w:rFonts w:hint="eastAsia" w:ascii="仿宋" w:hAnsi="仿宋" w:eastAsia="仿宋" w:cs="仿宋_GB2312"/>
          <w:sz w:val="32"/>
          <w:szCs w:val="32"/>
        </w:rPr>
        <w:t>号）、《财政部</w:t>
      </w:r>
      <w:r>
        <w:rPr>
          <w:rFonts w:ascii="仿宋" w:hAnsi="仿宋" w:eastAsia="仿宋" w:cs="仿宋_GB2312"/>
          <w:sz w:val="32"/>
          <w:szCs w:val="32"/>
        </w:rPr>
        <w:t xml:space="preserve"> </w:t>
      </w:r>
      <w:r>
        <w:rPr>
          <w:rFonts w:hint="eastAsia" w:ascii="仿宋" w:hAnsi="仿宋" w:eastAsia="仿宋" w:cs="仿宋_GB2312"/>
          <w:sz w:val="32"/>
          <w:szCs w:val="32"/>
        </w:rPr>
        <w:t>农业部关于印发〈农业支持保护补贴资金管理办法〉的通知》（财农〔</w:t>
      </w:r>
      <w:r>
        <w:rPr>
          <w:rFonts w:ascii="仿宋" w:hAnsi="仿宋" w:eastAsia="仿宋" w:cs="仿宋_GB2312"/>
          <w:sz w:val="32"/>
          <w:szCs w:val="32"/>
        </w:rPr>
        <w:t>2016</w:t>
      </w:r>
      <w:r>
        <w:rPr>
          <w:rFonts w:hint="eastAsia" w:ascii="仿宋" w:hAnsi="仿宋" w:eastAsia="仿宋" w:cs="仿宋_GB2312"/>
          <w:sz w:val="32"/>
          <w:szCs w:val="32"/>
        </w:rPr>
        <w:t>〕</w:t>
      </w:r>
      <w:r>
        <w:rPr>
          <w:rFonts w:ascii="仿宋" w:hAnsi="仿宋" w:eastAsia="仿宋" w:cs="仿宋_GB2312"/>
          <w:sz w:val="32"/>
          <w:szCs w:val="32"/>
        </w:rPr>
        <w:t>74</w:t>
      </w:r>
      <w:r>
        <w:rPr>
          <w:rFonts w:hint="eastAsia" w:ascii="仿宋" w:hAnsi="仿宋" w:eastAsia="仿宋" w:cs="仿宋_GB2312"/>
          <w:sz w:val="32"/>
          <w:szCs w:val="32"/>
        </w:rPr>
        <w:t>号）、《财政部 农业部关于修订相关资金管理办法的通知》（财农〔</w:t>
      </w:r>
      <w:r>
        <w:rPr>
          <w:rFonts w:ascii="仿宋" w:hAnsi="仿宋" w:eastAsia="仿宋" w:cs="仿宋_GB2312"/>
          <w:sz w:val="32"/>
          <w:szCs w:val="32"/>
        </w:rPr>
        <w:t>2016</w:t>
      </w:r>
      <w:r>
        <w:rPr>
          <w:rFonts w:hint="eastAsia" w:ascii="仿宋" w:hAnsi="仿宋" w:eastAsia="仿宋" w:cs="仿宋_GB2312"/>
          <w:sz w:val="32"/>
          <w:szCs w:val="32"/>
        </w:rPr>
        <w:t>〕238号）同时废止。</w:t>
      </w:r>
    </w:p>
    <w:sectPr>
      <w:footerReference r:id="rId3" w:type="default"/>
      <w:pgSz w:w="11906" w:h="16838"/>
      <w:pgMar w:top="1701" w:right="1418" w:bottom="1418" w:left="1418"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60313D"/>
    <w:rsid w:val="00611ABF"/>
    <w:rsid w:val="00611B9C"/>
    <w:rsid w:val="00613005"/>
    <w:rsid w:val="006154E9"/>
    <w:rsid w:val="00621A80"/>
    <w:rsid w:val="006264A0"/>
    <w:rsid w:val="0064170C"/>
    <w:rsid w:val="00655578"/>
    <w:rsid w:val="006836F0"/>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122A"/>
    <w:rsid w:val="00783D80"/>
    <w:rsid w:val="00787B1A"/>
    <w:rsid w:val="00787B4F"/>
    <w:rsid w:val="0079091D"/>
    <w:rsid w:val="007A3AB5"/>
    <w:rsid w:val="007A4AE2"/>
    <w:rsid w:val="007B6EB3"/>
    <w:rsid w:val="007C693F"/>
    <w:rsid w:val="007D1D35"/>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47A7C"/>
    <w:rsid w:val="00955707"/>
    <w:rsid w:val="009621DA"/>
    <w:rsid w:val="00964133"/>
    <w:rsid w:val="0097020D"/>
    <w:rsid w:val="0098444C"/>
    <w:rsid w:val="00986387"/>
    <w:rsid w:val="00990B70"/>
    <w:rsid w:val="00991E4E"/>
    <w:rsid w:val="009A366A"/>
    <w:rsid w:val="009A55C6"/>
    <w:rsid w:val="009B3DC4"/>
    <w:rsid w:val="009B7C3C"/>
    <w:rsid w:val="009C17BF"/>
    <w:rsid w:val="009C5431"/>
    <w:rsid w:val="009D247D"/>
    <w:rsid w:val="009E42E2"/>
    <w:rsid w:val="009E7305"/>
    <w:rsid w:val="009F22A3"/>
    <w:rsid w:val="009F2551"/>
    <w:rsid w:val="009F7D74"/>
    <w:rsid w:val="00A17A53"/>
    <w:rsid w:val="00A22736"/>
    <w:rsid w:val="00A3762A"/>
    <w:rsid w:val="00A43C97"/>
    <w:rsid w:val="00A50041"/>
    <w:rsid w:val="00A51A8F"/>
    <w:rsid w:val="00A52D53"/>
    <w:rsid w:val="00A666A4"/>
    <w:rsid w:val="00A66847"/>
    <w:rsid w:val="00A669C1"/>
    <w:rsid w:val="00A722A1"/>
    <w:rsid w:val="00A9166B"/>
    <w:rsid w:val="00A96B0B"/>
    <w:rsid w:val="00AB0D45"/>
    <w:rsid w:val="00AE30C3"/>
    <w:rsid w:val="00AF6296"/>
    <w:rsid w:val="00B125D5"/>
    <w:rsid w:val="00B25681"/>
    <w:rsid w:val="00B476ED"/>
    <w:rsid w:val="00B51234"/>
    <w:rsid w:val="00B5200C"/>
    <w:rsid w:val="00B6606D"/>
    <w:rsid w:val="00B80AED"/>
    <w:rsid w:val="00B82126"/>
    <w:rsid w:val="00B97D33"/>
    <w:rsid w:val="00BA00EA"/>
    <w:rsid w:val="00BB0702"/>
    <w:rsid w:val="00BB5511"/>
    <w:rsid w:val="00BC0AAE"/>
    <w:rsid w:val="00BD37CA"/>
    <w:rsid w:val="00BF675F"/>
    <w:rsid w:val="00C0043E"/>
    <w:rsid w:val="00C057FE"/>
    <w:rsid w:val="00C07C13"/>
    <w:rsid w:val="00C3491B"/>
    <w:rsid w:val="00C47B85"/>
    <w:rsid w:val="00C648DF"/>
    <w:rsid w:val="00C93184"/>
    <w:rsid w:val="00C958B2"/>
    <w:rsid w:val="00CA1923"/>
    <w:rsid w:val="00CA2D3F"/>
    <w:rsid w:val="00CE14E7"/>
    <w:rsid w:val="00CE1BD9"/>
    <w:rsid w:val="00CE63BF"/>
    <w:rsid w:val="00CE705A"/>
    <w:rsid w:val="00CF117C"/>
    <w:rsid w:val="00CF5DE8"/>
    <w:rsid w:val="00D25C91"/>
    <w:rsid w:val="00D415C3"/>
    <w:rsid w:val="00D45767"/>
    <w:rsid w:val="00D775F2"/>
    <w:rsid w:val="00D87CFA"/>
    <w:rsid w:val="00D97D64"/>
    <w:rsid w:val="00DB4FDB"/>
    <w:rsid w:val="00DC535C"/>
    <w:rsid w:val="00DC7B62"/>
    <w:rsid w:val="00DE415B"/>
    <w:rsid w:val="00DE460F"/>
    <w:rsid w:val="00E032F7"/>
    <w:rsid w:val="00E06EC3"/>
    <w:rsid w:val="00E17881"/>
    <w:rsid w:val="00E353DF"/>
    <w:rsid w:val="00E42111"/>
    <w:rsid w:val="00E438E6"/>
    <w:rsid w:val="00E55B4E"/>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 w:val="206C2AAC"/>
    <w:rsid w:val="3547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rFonts w:ascii="宋体"/>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w:basedOn w:val="1"/>
    <w:uiPriority w:val="0"/>
    <w:pPr>
      <w:widowControl/>
      <w:spacing w:after="160" w:line="240" w:lineRule="exact"/>
      <w:jc w:val="left"/>
    </w:pPr>
    <w:rPr>
      <w:rFonts w:cs="Times New Roman"/>
      <w:szCs w:val="22"/>
    </w:rPr>
  </w:style>
  <w:style w:type="paragraph" w:customStyle="1" w:styleId="8">
    <w:name w:val="2"/>
    <w:basedOn w:val="1"/>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9">
    <w:name w:val="批注框文本 Char"/>
    <w:link w:val="2"/>
    <w:uiPriority w:val="0"/>
    <w:rPr>
      <w:rFonts w:ascii="宋体" w:hAnsi="Calibri" w:cs="Calibri"/>
      <w:kern w:val="2"/>
      <w:sz w:val="18"/>
      <w:szCs w:val="18"/>
    </w:rPr>
  </w:style>
  <w:style w:type="character" w:customStyle="1" w:styleId="10">
    <w:name w:val="页眉 Char"/>
    <w:basedOn w:val="5"/>
    <w:link w:val="4"/>
    <w:qFormat/>
    <w:uiPriority w:val="0"/>
    <w:rPr>
      <w:rFonts w:ascii="Calibri" w:hAnsi="Calibri" w:cs="Calibri"/>
      <w:kern w:val="2"/>
      <w:sz w:val="18"/>
      <w:szCs w:val="18"/>
    </w:rPr>
  </w:style>
  <w:style w:type="character" w:customStyle="1" w:styleId="11">
    <w:name w:val="页脚 Char"/>
    <w:basedOn w:val="5"/>
    <w:link w:val="3"/>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82B61-E178-49F0-97C6-A52F08703C23}">
  <ds:schemaRefs/>
</ds:datastoreItem>
</file>

<file path=docProps/app.xml><?xml version="1.0" encoding="utf-8"?>
<Properties xmlns="http://schemas.openxmlformats.org/officeDocument/2006/extended-properties" xmlns:vt="http://schemas.openxmlformats.org/officeDocument/2006/docPropsVTypes">
  <Template>Normal</Template>
  <Pages>7</Pages>
  <Words>3457</Words>
  <Characters>167</Characters>
  <Lines>1</Lines>
  <Paragraphs>7</Paragraphs>
  <TotalTime>0</TotalTime>
  <ScaleCrop>false</ScaleCrop>
  <LinksUpToDate>false</LinksUpToDate>
  <CharactersWithSpaces>3617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2017-03-09T01:13:00Z</dcterms:created>
  <dc:creator>moa</dc:creator>
  <cp:lastModifiedBy>ss</cp:lastModifiedBy>
  <cp:lastPrinted>2017-03-17T01:58:00Z</cp:lastPrinted>
  <dcterms:modified xsi:type="dcterms:W3CDTF">2017-06-16T02:21:29Z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