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夹江县农机购置补贴政策实施工作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84"/>
          <w:szCs w:val="8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84"/>
          <w:szCs w:val="84"/>
          <w:lang w:eastAsia="zh-CN"/>
        </w:rPr>
        <w:t>责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84"/>
          <w:szCs w:val="8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84"/>
          <w:szCs w:val="84"/>
          <w:lang w:eastAsia="zh-CN"/>
        </w:rPr>
        <w:t>任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84"/>
          <w:szCs w:val="8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84"/>
          <w:szCs w:val="84"/>
          <w:lang w:eastAsia="zh-CN"/>
        </w:rPr>
        <w:t>书</w:t>
      </w:r>
    </w:p>
    <w:p>
      <w:pPr>
        <w:spacing w:before="156" w:beforeLines="50" w:line="560" w:lineRule="exact"/>
        <w:ind w:right="21" w:rightChars="1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</w:p>
    <w:p>
      <w:pPr>
        <w:spacing w:before="156" w:beforeLines="50" w:line="560" w:lineRule="exact"/>
        <w:ind w:right="21" w:rightChars="1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</w:p>
    <w:p>
      <w:pPr>
        <w:spacing w:before="156" w:beforeLines="50" w:line="560" w:lineRule="exact"/>
        <w:ind w:right="21" w:rightChars="1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</w:p>
    <w:p>
      <w:pPr>
        <w:spacing w:before="156" w:beforeLines="50" w:line="560" w:lineRule="exact"/>
        <w:ind w:right="21" w:rightChars="1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</w:p>
    <w:p>
      <w:pPr>
        <w:spacing w:before="156" w:beforeLines="50" w:line="560" w:lineRule="exact"/>
        <w:ind w:right="21" w:rightChars="1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</w:pPr>
    </w:p>
    <w:p>
      <w:pPr>
        <w:spacing w:before="156" w:beforeLines="50" w:line="560" w:lineRule="exact"/>
        <w:ind w:right="21" w:rightChars="1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eastAsia="zh-CN"/>
        </w:rPr>
        <w:t>夹江县农机购置补贴政策实施工作责任书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为切实做好我县农机购置补贴政策实施工作，根据省、市农业、财政部门有关要求，县农业局（称为甲方）与各乡镇人民政府（称为乙方）签订农机购置补贴政策实施工作责任书。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甲方主要职责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牵头制定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本县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农机购置补贴政策实施方案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，并组织实施。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-92" w:rightChars="-44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对本县落实农机购置补贴政策的实施情况进行指导和监督检查，开展年度绩效考核。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宣传农机购置补贴政策，及时公开农机购置补贴信息，接受社会监督和政策咨询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-92" w:rightChars="-44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乙方上报的购机补贴结算资料及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购机者提供的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补贴申请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资料进行合规性审查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对购机真实性进行抽查核实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收集、整理和保管农机购置补贴档案资料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协助财政部门做好补贴资金兑付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受理各方举报和投诉，依法对违纪违规问题进行查处；督促企业做好售后服务；开展补贴实施情况总结等。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乙方主要职责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乡镇人民政府是农机购置补贴政策实施的窗口，负责本乡镇购机户购机补贴申请的具体办理日常工作。主要职责包括：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加强组织领导，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建立健全乡镇农机购置补贴工作机制，明确任务、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落实责任。坚持公开、透明的原则，把农机购置补贴政策实施情况列入政务公开和政务服务目录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（二）按照农机购置补贴政策实施方案办理补贴手续，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负责对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本乡镇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购机者购机补贴资金申请受理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，保管好农户购机补贴申请原始资料。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（三）对补贴对象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购机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真实性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及补贴资金核实、公示，接受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社会监督；受理、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核查人员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按要求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填写《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夹江县农机购置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补贴机具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受理、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核查表》并签字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，做到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“谁核查、谁签字、谁负责”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（四）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按时按要求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收集、整理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上报补贴资金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结算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相关材料等工作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（五）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积极宣传农机购置补贴政策和补贴办事程序，及时公开农机购置补贴信息，接受社会监督和政策咨询，收集各方举报电话和投诉，将举报和投诉及时反馈农业局、财政局。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三、落实奖惩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县农业局对各乡镇农机购置补贴政策落实工作进行绩效考评，纳入年度县政府对各乡镇目标考核。对工作扎实、成效显著的给予表扬，有关项目给予倾斜；对责任不落实、工作不到位、监督管理不力的进行通报批评；对因工作失职造成购机户无法兑现补贴的，将追究直接责任人责任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其他事项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此责任书一式两份，甲、乙双方各执一份。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此责任书自双方负责人签字之日起生效。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夹江县农业局（盖章）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乡镇人民政府（盖章）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负责人（签字）                      负责人（签字）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2017年7月  日                     2017年 7 月 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99BB"/>
    <w:multiLevelType w:val="singleLevel"/>
    <w:tmpl w:val="595C99B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5C9A9A"/>
    <w:multiLevelType w:val="singleLevel"/>
    <w:tmpl w:val="595C9A9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5C9DAF"/>
    <w:multiLevelType w:val="singleLevel"/>
    <w:tmpl w:val="595C9DAF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5CA73C"/>
    <w:multiLevelType w:val="singleLevel"/>
    <w:tmpl w:val="595CA73C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95CA77E"/>
    <w:multiLevelType w:val="singleLevel"/>
    <w:tmpl w:val="595CA77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5EFE"/>
    <w:rsid w:val="02866768"/>
    <w:rsid w:val="27E11F54"/>
    <w:rsid w:val="44E97B89"/>
    <w:rsid w:val="5C1B5EFE"/>
    <w:rsid w:val="68AE7FA6"/>
    <w:rsid w:val="7C3A4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2017-07-05T07:11:00Z</dcterms:created>
  <dc:creator>Administrator</dc:creator>
  <cp:lastModifiedBy>Administrator</cp:lastModifiedBy>
  <cp:lastPrinted>2017-07-06T01:53:00Z</cp:lastPrinted>
  <dcterms:modified xsi:type="dcterms:W3CDTF">2017-07-27T02:00:55Z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