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</w:rPr>
        <w:t>农机补贴机具核验流程</w:t>
      </w:r>
    </w:p>
    <w:p>
      <w:pPr>
        <w:spacing w:line="360" w:lineRule="auto"/>
        <w:rPr>
          <w:rFonts w:hint="eastAsia"/>
          <w:kern w:val="0"/>
          <w:sz w:val="24"/>
          <w:szCs w:val="32"/>
        </w:rPr>
      </w:pPr>
      <w:r>
        <w:rPr>
          <w:rFonts w:hint="eastAsia"/>
          <w:kern w:val="0"/>
          <w:sz w:val="24"/>
          <w:szCs w:val="32"/>
        </w:rPr>
        <w:t xml:space="preserve">    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为贯彻落实好农业机械购置补贴政策，加强农业机械购置补贴风险防控，确保购机真实性，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市农村发展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财政局要全面履行监管职责，采取定期和不定期方式组织开展专项检查和重点抽查，强化补贴机具核实，深入了解情况，对发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现的问题及时曝光处理，保证农业机械购置补贴工作有序进行。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购机核实采取“乡镇农业综合服务站和乡镇（街办）人民政府核实为主、市级重点抽查”的方式。购机者购买机具后，将农发局打印的《四川省农业机械购置补贴资金申请表》，销售公司给的资料一起带到乡镇农业综合服务站和乡镇（街办）人民政府申请购机核实。当地乡镇农业综合服务站和乡镇（街办）人民政府要指定人员及时逐台核实机具，要做到见人（购机者），见机（购置机具与《四川省农业机械购置补贴资金申请表》上机具信息一致），见票（购机发票），核实无误后在农发局打印的《四川省农业机械购置补贴资金申请表》上签字盖章确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，方可申报补贴资金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农发局每年组织2次全面监督大检查，做到乡镇全覆盖，采用现场核查的方式，对补贴5000元以上和享受市级累加补贴的机具逐台核实，对其它补贴机具抽查，抽查比例不低于30%。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4F21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2017-09-01T05:09:53Z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