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spacing w:line="576" w:lineRule="exact"/>
        <w:ind w:left="0" w:leftChars="0" w:firstLine="0" w:firstLineChars="0"/>
        <w:jc w:val="center"/>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昭农</w:t>
      </w:r>
      <w:r>
        <w:rPr>
          <w:rFonts w:hint="eastAsia" w:ascii="Times New Roman" w:hAnsi="Times New Roman" w:eastAsia="仿宋_GB2312" w:cs="Times New Roman"/>
          <w:b w:val="0"/>
          <w:bCs w:val="0"/>
          <w:sz w:val="32"/>
          <w:szCs w:val="32"/>
          <w:lang w:val="en-US" w:eastAsia="zh-CN"/>
        </w:rPr>
        <w:t>发</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65</w:t>
      </w:r>
      <w:bookmarkStart w:id="0" w:name="_GoBack"/>
      <w:bookmarkEnd w:id="0"/>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281" w:firstLineChars="88"/>
        <w:jc w:val="left"/>
        <w:textAlignment w:val="auto"/>
        <w:outlineLvl w:val="9"/>
        <w:rPr>
          <w:rFonts w:hint="default"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广元市昭化区农业局</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关于印发《昭化区</w:t>
      </w:r>
      <w:r>
        <w:rPr>
          <w:rFonts w:hint="default" w:ascii="Times New Roman" w:hAnsi="Times New Roman" w:eastAsia="方正小标宋简体" w:cs="Times New Roman"/>
          <w:sz w:val="44"/>
          <w:szCs w:val="44"/>
          <w:lang w:val="en-US" w:eastAsia="zh-CN"/>
        </w:rPr>
        <w:t>2018—2020</w:t>
      </w:r>
      <w:r>
        <w:rPr>
          <w:rFonts w:hint="default" w:ascii="Times New Roman" w:hAnsi="Times New Roman" w:eastAsia="方正小标宋简体" w:cs="Times New Roman"/>
          <w:sz w:val="44"/>
          <w:szCs w:val="44"/>
          <w:lang w:eastAsia="zh-CN"/>
        </w:rPr>
        <w:t>年农机购置补贴廉政风险防控机制建设实施方案》的通知</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仿宋_GB2312" w:cs="Times New Roman"/>
          <w:b/>
          <w:sz w:val="36"/>
          <w:szCs w:val="36"/>
        </w:rPr>
      </w:pP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农技推广站，局</w:t>
      </w:r>
      <w:r>
        <w:rPr>
          <w:rFonts w:hint="default" w:ascii="Times New Roman" w:hAnsi="Times New Roman" w:eastAsia="仿宋_GB2312" w:cs="Times New Roman"/>
          <w:sz w:val="32"/>
          <w:szCs w:val="32"/>
          <w:lang w:eastAsia="zh-CN"/>
        </w:rPr>
        <w:t>属相关</w:t>
      </w:r>
      <w:r>
        <w:rPr>
          <w:rFonts w:hint="default" w:ascii="Times New Roman" w:hAnsi="Times New Roman" w:eastAsia="仿宋_GB2312" w:cs="Times New Roman"/>
          <w:sz w:val="32"/>
          <w:szCs w:val="32"/>
        </w:rPr>
        <w:t>股室：</w:t>
      </w:r>
    </w:p>
    <w:p>
      <w:pPr>
        <w:keepNext w:val="0"/>
        <w:keepLines w:val="0"/>
        <w:pageBreakBefore w:val="0"/>
        <w:widowControl w:val="0"/>
        <w:kinsoku/>
        <w:wordWrap/>
        <w:overflowPunct/>
        <w:topLinePunct w:val="0"/>
        <w:autoSpaceDE/>
        <w:autoSpaceDN/>
        <w:bidi w:val="0"/>
        <w:adjustRightInd/>
        <w:snapToGrid/>
        <w:spacing w:line="550" w:lineRule="exact"/>
        <w:ind w:firstLine="480"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vanish/>
          <w:sz w:val="32"/>
          <w:szCs w:val="32"/>
        </w:rPr>
        <w:t>度013</w:t>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sz w:val="32"/>
          <w:szCs w:val="32"/>
        </w:rPr>
        <w:t>为认真落实好农业机械购置补贴政策，确保国家强农惠农政策落到实处，经</w:t>
      </w:r>
      <w:r>
        <w:rPr>
          <w:rFonts w:hint="default" w:ascii="Times New Roman" w:hAnsi="Times New Roman" w:eastAsia="仿宋_GB2312" w:cs="Times New Roman"/>
          <w:sz w:val="32"/>
          <w:szCs w:val="32"/>
          <w:lang w:eastAsia="zh-CN"/>
        </w:rPr>
        <w:t>局党组</w:t>
      </w:r>
      <w:r>
        <w:rPr>
          <w:rFonts w:hint="default" w:ascii="Times New Roman" w:hAnsi="Times New Roman" w:eastAsia="仿宋_GB2312" w:cs="Times New Roman"/>
          <w:sz w:val="32"/>
          <w:szCs w:val="32"/>
        </w:rPr>
        <w:t>研究决定，制定并印发《</w:t>
      </w:r>
      <w:r>
        <w:rPr>
          <w:rFonts w:hint="default" w:ascii="Times New Roman" w:hAnsi="Times New Roman" w:eastAsia="仿宋_GB2312" w:cs="Times New Roman"/>
          <w:sz w:val="32"/>
          <w:szCs w:val="32"/>
          <w:lang w:eastAsia="zh-CN"/>
        </w:rPr>
        <w:t>昭化区</w:t>
      </w:r>
      <w:r>
        <w:rPr>
          <w:rFonts w:hint="default" w:ascii="Times New Roman" w:hAnsi="Times New Roman" w:eastAsia="仿宋_GB2312" w:cs="Times New Roman"/>
          <w:sz w:val="32"/>
          <w:szCs w:val="32"/>
          <w:lang w:val="en-US" w:eastAsia="zh-CN"/>
        </w:rPr>
        <w:t>2018—2020</w:t>
      </w:r>
      <w:r>
        <w:rPr>
          <w:rFonts w:hint="default" w:ascii="Times New Roman" w:hAnsi="Times New Roman" w:eastAsia="仿宋_GB2312" w:cs="Times New Roman"/>
          <w:sz w:val="32"/>
          <w:szCs w:val="32"/>
        </w:rPr>
        <w:t>年农机购置补贴廉政风险防控机制建设实施方案》，请认真遵照执行。</w:t>
      </w:r>
    </w:p>
    <w:p>
      <w:pPr>
        <w:keepNext w:val="0"/>
        <w:keepLines w:val="0"/>
        <w:pageBreakBefore w:val="0"/>
        <w:widowControl w:val="0"/>
        <w:kinsoku/>
        <w:wordWrap/>
        <w:overflowPunct/>
        <w:topLinePunct w:val="0"/>
        <w:autoSpaceDE/>
        <w:autoSpaceDN/>
        <w:bidi w:val="0"/>
        <w:adjustRightInd/>
        <w:snapToGrid/>
        <w:spacing w:line="550" w:lineRule="exact"/>
        <w:ind w:firstLine="480" w:firstLineChars="1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广元市昭化区</w:t>
      </w:r>
      <w:r>
        <w:rPr>
          <w:rFonts w:hint="default" w:ascii="Times New Roman" w:hAnsi="Times New Roman" w:eastAsia="仿宋_GB2312" w:cs="Times New Roman"/>
          <w:sz w:val="32"/>
          <w:szCs w:val="32"/>
        </w:rPr>
        <w:t>农业局</w:t>
      </w: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both"/>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昭化区2018—2020</w:t>
      </w:r>
      <w:r>
        <w:rPr>
          <w:rFonts w:hint="eastAsia" w:ascii="方正小标宋简体" w:hAnsi="方正小标宋简体" w:eastAsia="方正小标宋简体" w:cs="方正小标宋简体"/>
          <w:b w:val="0"/>
          <w:bCs/>
          <w:sz w:val="44"/>
          <w:szCs w:val="44"/>
        </w:rPr>
        <w:t>年农机购置补贴</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both"/>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廉政风险防控机制建设实施方案</w:t>
      </w:r>
    </w:p>
    <w:p>
      <w:pPr>
        <w:keepNext w:val="0"/>
        <w:keepLines w:val="0"/>
        <w:pageBreakBefore w:val="0"/>
        <w:widowControl w:val="0"/>
        <w:kinsoku/>
        <w:wordWrap/>
        <w:overflowPunct/>
        <w:topLinePunct w:val="0"/>
        <w:autoSpaceDE/>
        <w:autoSpaceDN/>
        <w:bidi w:val="0"/>
        <w:adjustRightInd/>
        <w:snapToGrid/>
        <w:spacing w:line="576" w:lineRule="exact"/>
        <w:ind w:firstLine="883" w:firstLineChars="200"/>
        <w:jc w:val="both"/>
        <w:textAlignment w:val="auto"/>
        <w:outlineLvl w:val="9"/>
        <w:rPr>
          <w:rFonts w:hint="default" w:ascii="Times New Roman" w:hAnsi="Times New Roman" w:eastAsia="仿宋_GB2312" w:cs="Times New Roman"/>
          <w:b/>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认真贯彻落实四川省农业厅、广元市农业局关于加快推进农机购置补贴廉政风险防控机制建设的要求，切实规范行政权力运作，提高行政效能，加大从源头上防治腐败的工作力度，扎实推进惩治和预防腐败体系建设，推动农机购置补贴政策的全面落实，按照《四川省农机购置补贴廉政风险防控机制建设实施方案》和《广元市农机购置补贴廉政风险防控机制建设实施方案》要求，制定本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建设，促进领导干部廉洁自律，保证权力正确行使；不断提高反腐倡廉建设制度化、科学化、规范化水平，推动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农机购置补贴项目健康运行，筑牢项目执行干部队伍思想防线。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现代风险管理理论，创新反腐倡廉和预防腐败工作机制。全面查找在农机购置补贴项目执行过程中，由于制度机制不健全、内外部环境影响等原因，可能引发不廉洁、不作为、乱作为等行为的廉政风险，有针对性地制定防控措施，对预防腐败和廉政勤政建设工作进行科学化、系统化管理。以农机补贴额制定、补贴资金分配、补贴对象确定、补贴资金管理和结算等环节为防控重点，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、乡级农机部门全面开展排查廉政风险点工作，制定防范措施，形成长效机制。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三、实施步骤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推进农机购置补贴项目廉政风险防控机制建设，按照突出重点、分步实施、扎实推进、务求实效的总体要求，具体分四个阶段进行：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（一）方案编制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在深入调研的基础上，按照有关文件要求收集整理基础资料，并结合工作实际，制定开展农机购置补贴廉政风险防控机制建设的具体实施方案。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（二）风险排查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、乡分步骤梯次推进的原则，对照《</w:t>
      </w:r>
      <w:r>
        <w:rPr>
          <w:rFonts w:hint="default" w:ascii="Times New Roman" w:hAnsi="Times New Roman" w:eastAsia="仿宋_GB2312" w:cs="Times New Roman"/>
          <w:sz w:val="32"/>
          <w:szCs w:val="32"/>
          <w:lang w:eastAsia="zh-CN"/>
        </w:rPr>
        <w:t>昭化区</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8—2020</w:t>
      </w:r>
      <w:r>
        <w:rPr>
          <w:rFonts w:hint="default" w:ascii="Times New Roman" w:hAnsi="Times New Roman" w:eastAsia="仿宋_GB2312" w:cs="Times New Roman"/>
          <w:sz w:val="32"/>
          <w:szCs w:val="32"/>
        </w:rPr>
        <w:t>年农业机械购置补贴</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》和市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签订的《农机购置补贴项目责任书》中明确的职责和工作内容，全面查找存在或潜在的廉政风险点，分析风险内容和表现形式，评定风险等级。根据风险发生可能造成的危害程度以及机率大小，将风险等级划分为三个等级。一级风险是可能造成严重损害后果或者发生机率高的风险，如行贿受贿以及套（骗）取国家补贴资金等严重违规违纪行为等；二级风险是可能造成较为严重损害或发生机率较高的风险，如未按要求确定补贴对象、机具核查工作不到位等问题；三级风险是可能造成一般损害后果或发生机率较低的风险，如政策宣传不到位、信息公开不及时等问题。对照岗位职责，从工作流程或权力运行过程入手，通过自我查找，邀请纪检监察部门参与等方式，对应查找每个权力行使环节存在的风险点，切实做到全覆盖、不漏项。同时要突出重点，特别围绕一级风险点进行重点查找和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（三）完善防控措施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要在风险排查和完善防控措施的基础上，形成本单位项目实施责任岗位廉政风险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sz w:val="32"/>
          <w:szCs w:val="32"/>
        </w:rPr>
      </w:pPr>
      <w:r>
        <w:rPr>
          <w:rFonts w:hint="default" w:ascii="楷体_GB2312" w:hAnsi="楷体_GB2312" w:eastAsia="楷体_GB2312" w:cs="楷体_GB2312"/>
          <w:b w:val="0"/>
          <w:bCs/>
          <w:sz w:val="32"/>
          <w:szCs w:val="32"/>
        </w:rPr>
        <w:t>（四）考核评估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年底，要对推进农机购置补贴廉政风险防控机制建设工作情况进行认真总结，并形成专项工作报告报送市农业局农机科。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四、建立长效机制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积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要统筹推进行政权力廉政风险评估防范机制、行政权力运行程序化和公开透明机制、行政权力运行绩效考核和责任追究机制等“三项机制”的相关工作，相互促进; 要统筹推进惩治和预防腐败体系建设的教育、制度、监督、改革、纠风、惩处等各项工作，发挥整体效能，提升整体工作水平。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要把农机购置补贴廉政风险防控机制建设工作作为</w:t>
      </w:r>
      <w:r>
        <w:rPr>
          <w:rFonts w:hint="default" w:ascii="Times New Roman" w:hAnsi="Times New Roman" w:eastAsia="仿宋_GB2312" w:cs="Times New Roman"/>
          <w:sz w:val="32"/>
          <w:szCs w:val="32"/>
          <w:lang w:eastAsia="zh-CN"/>
        </w:rPr>
        <w:t>作风纪律</w:t>
      </w:r>
      <w:r>
        <w:rPr>
          <w:rFonts w:hint="default" w:ascii="Times New Roman" w:hAnsi="Times New Roman" w:eastAsia="仿宋_GB2312" w:cs="Times New Roman"/>
          <w:sz w:val="32"/>
          <w:szCs w:val="32"/>
        </w:rPr>
        <w:t>深</w:t>
      </w:r>
      <w:r>
        <w:rPr>
          <w:rFonts w:hint="default" w:ascii="Times New Roman" w:hAnsi="Times New Roman" w:eastAsia="仿宋_GB2312" w:cs="Times New Roman"/>
          <w:sz w:val="32"/>
          <w:szCs w:val="32"/>
          <w:lang w:eastAsia="zh-CN"/>
        </w:rPr>
        <w:t>化年活动</w:t>
      </w:r>
      <w:r>
        <w:rPr>
          <w:rFonts w:hint="default" w:ascii="Times New Roman" w:hAnsi="Times New Roman" w:eastAsia="仿宋_GB2312" w:cs="Times New Roman"/>
          <w:sz w:val="32"/>
          <w:szCs w:val="32"/>
        </w:rPr>
        <w:t>和绩效考核的重要内容，按照党风廉政建设责任制的要求，将行政权力运行监控机制建设摆上重要议事日程，与农机购置补贴具体业务工作有机结合，及时研究解决工作推进中存在的问题，切实做到组织健全、措施有力、责任明确、成效显著。进一步加强对国家强农惠农富农政策落实情况的监控，防范可能出现的廉政风险，保证政策落实、资金安全，切实维护人民群众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昭化区</w:t>
      </w:r>
      <w:r>
        <w:rPr>
          <w:rFonts w:hint="default" w:ascii="Times New Roman" w:hAnsi="Times New Roman" w:eastAsia="仿宋_GB2312" w:cs="Times New Roman"/>
          <w:sz w:val="32"/>
          <w:szCs w:val="32"/>
          <w:lang w:val="en-US" w:eastAsia="zh-CN"/>
        </w:rPr>
        <w:t>2018—2020</w:t>
      </w:r>
      <w:r>
        <w:rPr>
          <w:rFonts w:hint="default" w:ascii="Times New Roman" w:hAnsi="Times New Roman" w:eastAsia="仿宋_GB2312" w:cs="Times New Roman"/>
          <w:sz w:val="32"/>
          <w:szCs w:val="32"/>
        </w:rPr>
        <w:t>年农机购置补贴廉政风险及防控</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措施一览表</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4" w:left="1587" w:header="851" w:footer="1531" w:gutter="0"/>
          <w:paperSrc/>
          <w:pgBorders>
            <w:top w:val="none" w:sz="0" w:space="0"/>
            <w:left w:val="none" w:sz="0" w:space="0"/>
            <w:bottom w:val="none" w:sz="0" w:space="0"/>
            <w:right w:val="none" w:sz="0" w:space="0"/>
          </w:pgBorders>
          <w:pgNumType w:fmt="decimal"/>
          <w:cols w:space="0" w:num="1"/>
          <w:rtlGutter w:val="0"/>
          <w:docGrid w:type="lines" w:linePitch="318" w:charSpace="0"/>
        </w:sectPr>
      </w:pPr>
    </w:p>
    <w:p>
      <w:pPr>
        <w:widowControl/>
        <w:spacing w:line="330" w:lineRule="atLeast"/>
        <w:jc w:val="left"/>
        <w:rPr>
          <w:rFonts w:hint="eastAsia" w:ascii="黑体" w:hAnsi="黑体" w:eastAsia="黑体" w:cs="黑体"/>
          <w:bCs/>
          <w:kern w:val="0"/>
          <w:sz w:val="32"/>
          <w:szCs w:val="32"/>
        </w:rPr>
      </w:pPr>
      <w:r>
        <w:rPr>
          <w:rFonts w:hint="eastAsia" w:ascii="黑体" w:hAnsi="黑体" w:eastAsia="黑体" w:cs="黑体"/>
          <w:bCs/>
          <w:kern w:val="0"/>
          <w:sz w:val="32"/>
          <w:szCs w:val="32"/>
        </w:rPr>
        <w:t>附件</w:t>
      </w:r>
    </w:p>
    <w:p>
      <w:pPr>
        <w:widowControl/>
        <w:spacing w:line="330" w:lineRule="atLeast"/>
        <w:ind w:firstLine="360"/>
        <w:jc w:val="center"/>
        <w:rPr>
          <w:rFonts w:hint="default" w:ascii="Times New Roman" w:hAnsi="Times New Roman" w:cs="Times New Roman"/>
          <w:b/>
          <w:kern w:val="0"/>
          <w:sz w:val="36"/>
          <w:szCs w:val="36"/>
        </w:rPr>
      </w:pPr>
      <w:r>
        <w:rPr>
          <w:rFonts w:hint="eastAsia" w:ascii="方正小标宋简体" w:hAnsi="方正小标宋简体" w:eastAsia="方正小标宋简体" w:cs="方正小标宋简体"/>
          <w:b w:val="0"/>
          <w:bCs/>
          <w:kern w:val="0"/>
          <w:sz w:val="36"/>
          <w:szCs w:val="36"/>
          <w:lang w:val="en-US" w:eastAsia="zh-CN"/>
        </w:rPr>
        <w:t>昭化区2018—2020</w:t>
      </w:r>
      <w:r>
        <w:rPr>
          <w:rFonts w:hint="eastAsia" w:ascii="方正小标宋简体" w:hAnsi="方正小标宋简体" w:eastAsia="方正小标宋简体" w:cs="方正小标宋简体"/>
          <w:b w:val="0"/>
          <w:bCs/>
          <w:kern w:val="0"/>
          <w:sz w:val="36"/>
          <w:szCs w:val="36"/>
        </w:rPr>
        <w:t>年农机购置补贴廉政风险及防控措施一览表</w:t>
      </w:r>
    </w:p>
    <w:tbl>
      <w:tblPr>
        <w:tblStyle w:val="7"/>
        <w:tblW w:w="1405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56"/>
        <w:gridCol w:w="1410"/>
        <w:gridCol w:w="2550"/>
        <w:gridCol w:w="5535"/>
        <w:gridCol w:w="1140"/>
        <w:gridCol w:w="1132"/>
        <w:gridCol w:w="1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blHeader/>
          <w:jc w:val="center"/>
        </w:trPr>
        <w:tc>
          <w:tcPr>
            <w:tcW w:w="1156" w:type="dxa"/>
            <w:vMerge w:val="restart"/>
            <w:tcBorders>
              <w:tl2br w:val="nil"/>
              <w:tr2bl w:val="nil"/>
            </w:tcBorders>
            <w:vAlign w:val="center"/>
          </w:tcPr>
          <w:p>
            <w:pPr>
              <w:widowControl/>
              <w:spacing w:line="330" w:lineRule="atLeast"/>
              <w:jc w:val="center"/>
              <w:rPr>
                <w:rFonts w:hint="eastAsia" w:ascii="黑体" w:hAnsi="黑体" w:eastAsia="黑体" w:cs="黑体"/>
                <w:kern w:val="0"/>
                <w:szCs w:val="21"/>
              </w:rPr>
            </w:pPr>
            <w:r>
              <w:rPr>
                <w:rFonts w:hint="eastAsia" w:ascii="黑体" w:hAnsi="黑体" w:eastAsia="黑体" w:cs="黑体"/>
                <w:kern w:val="0"/>
                <w:szCs w:val="21"/>
              </w:rPr>
              <w:t>风险环节</w:t>
            </w:r>
          </w:p>
        </w:tc>
        <w:tc>
          <w:tcPr>
            <w:tcW w:w="1410" w:type="dxa"/>
            <w:vMerge w:val="restart"/>
            <w:tcBorders>
              <w:tl2br w:val="nil"/>
              <w:tr2bl w:val="nil"/>
            </w:tcBorders>
            <w:vAlign w:val="center"/>
          </w:tcPr>
          <w:p>
            <w:pPr>
              <w:widowControl/>
              <w:spacing w:line="330" w:lineRule="atLeast"/>
              <w:ind w:firstLine="420" w:firstLineChars="200"/>
              <w:rPr>
                <w:rFonts w:hint="eastAsia" w:ascii="黑体" w:hAnsi="黑体" w:eastAsia="黑体" w:cs="黑体"/>
                <w:kern w:val="0"/>
                <w:szCs w:val="21"/>
              </w:rPr>
            </w:pPr>
            <w:r>
              <w:rPr>
                <w:rFonts w:hint="eastAsia" w:ascii="黑体" w:hAnsi="黑体" w:eastAsia="黑体" w:cs="黑体"/>
                <w:kern w:val="0"/>
                <w:szCs w:val="21"/>
              </w:rPr>
              <w:t>风险对象（单位或</w:t>
            </w:r>
            <w:r>
              <w:rPr>
                <w:rFonts w:hint="eastAsia" w:ascii="黑体" w:hAnsi="黑体" w:eastAsia="黑体" w:cs="黑体"/>
                <w:kern w:val="0"/>
                <w:szCs w:val="21"/>
                <w:lang w:eastAsia="zh-CN"/>
              </w:rPr>
              <w:t>个</w:t>
            </w:r>
            <w:r>
              <w:rPr>
                <w:rFonts w:hint="eastAsia" w:ascii="黑体" w:hAnsi="黑体" w:eastAsia="黑体" w:cs="黑体"/>
                <w:kern w:val="0"/>
                <w:szCs w:val="21"/>
              </w:rPr>
              <w:t>人）</w:t>
            </w:r>
          </w:p>
        </w:tc>
        <w:tc>
          <w:tcPr>
            <w:tcW w:w="2550" w:type="dxa"/>
            <w:vMerge w:val="restart"/>
            <w:tcBorders>
              <w:tl2br w:val="nil"/>
              <w:tr2bl w:val="nil"/>
            </w:tcBorders>
            <w:vAlign w:val="center"/>
          </w:tcPr>
          <w:p>
            <w:pPr>
              <w:widowControl/>
              <w:spacing w:line="330" w:lineRule="atLeast"/>
              <w:jc w:val="center"/>
              <w:rPr>
                <w:rFonts w:hint="eastAsia" w:ascii="黑体" w:hAnsi="黑体" w:eastAsia="黑体" w:cs="黑体"/>
                <w:kern w:val="0"/>
                <w:szCs w:val="21"/>
              </w:rPr>
            </w:pPr>
            <w:r>
              <w:rPr>
                <w:rFonts w:hint="eastAsia" w:ascii="黑体" w:hAnsi="黑体" w:eastAsia="黑体" w:cs="黑体"/>
                <w:kern w:val="0"/>
                <w:szCs w:val="21"/>
              </w:rPr>
              <w:t>风险表现及等级</w:t>
            </w:r>
          </w:p>
        </w:tc>
        <w:tc>
          <w:tcPr>
            <w:tcW w:w="5535" w:type="dxa"/>
            <w:vMerge w:val="restart"/>
            <w:tcBorders>
              <w:tl2br w:val="nil"/>
              <w:tr2bl w:val="nil"/>
            </w:tcBorders>
            <w:vAlign w:val="center"/>
          </w:tcPr>
          <w:p>
            <w:pPr>
              <w:widowControl/>
              <w:spacing w:line="330" w:lineRule="atLeast"/>
              <w:ind w:firstLine="1890" w:firstLineChars="900"/>
              <w:rPr>
                <w:rFonts w:hint="eastAsia" w:ascii="黑体" w:hAnsi="黑体" w:eastAsia="黑体" w:cs="黑体"/>
                <w:kern w:val="0"/>
                <w:szCs w:val="21"/>
              </w:rPr>
            </w:pPr>
            <w:r>
              <w:rPr>
                <w:rFonts w:hint="eastAsia" w:ascii="黑体" w:hAnsi="黑体" w:eastAsia="黑体" w:cs="黑体"/>
                <w:kern w:val="0"/>
                <w:szCs w:val="21"/>
              </w:rPr>
              <w:t>防  控  措  施</w:t>
            </w:r>
          </w:p>
        </w:tc>
        <w:tc>
          <w:tcPr>
            <w:tcW w:w="3404" w:type="dxa"/>
            <w:gridSpan w:val="3"/>
            <w:tcBorders>
              <w:tl2br w:val="nil"/>
              <w:tr2bl w:val="nil"/>
            </w:tcBorders>
            <w:vAlign w:val="center"/>
          </w:tcPr>
          <w:p>
            <w:pPr>
              <w:widowControl/>
              <w:spacing w:line="330" w:lineRule="atLeast"/>
              <w:jc w:val="center"/>
              <w:rPr>
                <w:rFonts w:hint="eastAsia" w:ascii="黑体" w:hAnsi="黑体" w:eastAsia="黑体" w:cs="黑体"/>
                <w:kern w:val="0"/>
                <w:szCs w:val="21"/>
              </w:rPr>
            </w:pPr>
            <w:r>
              <w:rPr>
                <w:rFonts w:hint="eastAsia" w:ascii="黑体" w:hAnsi="黑体" w:eastAsia="黑体" w:cs="黑体"/>
                <w:kern w:val="0"/>
                <w:szCs w:val="21"/>
              </w:rPr>
              <w:t>责 任 主 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blHeader/>
          <w:jc w:val="center"/>
        </w:trPr>
        <w:tc>
          <w:tcPr>
            <w:tcW w:w="1156" w:type="dxa"/>
            <w:vMerge w:val="continue"/>
            <w:tcBorders>
              <w:tl2br w:val="nil"/>
              <w:tr2bl w:val="nil"/>
            </w:tcBorders>
            <w:vAlign w:val="center"/>
          </w:tcPr>
          <w:p>
            <w:pPr>
              <w:rPr>
                <w:rFonts w:hint="eastAsia" w:ascii="黑体" w:hAnsi="黑体" w:eastAsia="黑体" w:cs="黑体"/>
              </w:rPr>
            </w:pPr>
          </w:p>
        </w:tc>
        <w:tc>
          <w:tcPr>
            <w:tcW w:w="1410" w:type="dxa"/>
            <w:vMerge w:val="continue"/>
            <w:tcBorders>
              <w:tl2br w:val="nil"/>
              <w:tr2bl w:val="nil"/>
            </w:tcBorders>
            <w:vAlign w:val="center"/>
          </w:tcPr>
          <w:p>
            <w:pPr>
              <w:rPr>
                <w:rFonts w:hint="eastAsia" w:ascii="黑体" w:hAnsi="黑体" w:eastAsia="黑体" w:cs="黑体"/>
              </w:rPr>
            </w:pPr>
          </w:p>
        </w:tc>
        <w:tc>
          <w:tcPr>
            <w:tcW w:w="2550" w:type="dxa"/>
            <w:vMerge w:val="continue"/>
            <w:tcBorders>
              <w:tl2br w:val="nil"/>
              <w:tr2bl w:val="nil"/>
            </w:tcBorders>
            <w:vAlign w:val="center"/>
          </w:tcPr>
          <w:p>
            <w:pPr>
              <w:rPr>
                <w:rFonts w:hint="eastAsia" w:ascii="黑体" w:hAnsi="黑体" w:eastAsia="黑体" w:cs="黑体"/>
              </w:rPr>
            </w:pPr>
          </w:p>
        </w:tc>
        <w:tc>
          <w:tcPr>
            <w:tcW w:w="5535" w:type="dxa"/>
            <w:vMerge w:val="continue"/>
            <w:tcBorders>
              <w:tl2br w:val="nil"/>
              <w:tr2bl w:val="nil"/>
            </w:tcBorders>
            <w:vAlign w:val="center"/>
          </w:tcPr>
          <w:p>
            <w:pPr>
              <w:rPr>
                <w:rFonts w:hint="eastAsia" w:ascii="黑体" w:hAnsi="黑体" w:eastAsia="黑体" w:cs="黑体"/>
              </w:rPr>
            </w:pPr>
          </w:p>
        </w:tc>
        <w:tc>
          <w:tcPr>
            <w:tcW w:w="1140" w:type="dxa"/>
            <w:tcBorders>
              <w:tl2br w:val="nil"/>
              <w:tr2bl w:val="nil"/>
            </w:tcBorders>
            <w:vAlign w:val="center"/>
          </w:tcPr>
          <w:p>
            <w:pPr>
              <w:widowControl/>
              <w:spacing w:line="330" w:lineRule="atLeast"/>
              <w:jc w:val="center"/>
              <w:rPr>
                <w:rFonts w:hint="eastAsia" w:ascii="黑体" w:hAnsi="黑体" w:eastAsia="黑体" w:cs="黑体"/>
                <w:kern w:val="0"/>
                <w:szCs w:val="21"/>
              </w:rPr>
            </w:pPr>
            <w:r>
              <w:rPr>
                <w:rFonts w:hint="eastAsia" w:ascii="黑体" w:hAnsi="黑体" w:eastAsia="黑体" w:cs="黑体"/>
                <w:kern w:val="0"/>
                <w:szCs w:val="21"/>
              </w:rPr>
              <w:t>经办人</w:t>
            </w:r>
          </w:p>
        </w:tc>
        <w:tc>
          <w:tcPr>
            <w:tcW w:w="1132" w:type="dxa"/>
            <w:tcBorders>
              <w:tl2br w:val="nil"/>
              <w:tr2bl w:val="nil"/>
            </w:tcBorders>
            <w:vAlign w:val="center"/>
          </w:tcPr>
          <w:p>
            <w:pPr>
              <w:widowControl/>
              <w:spacing w:line="330" w:lineRule="atLeast"/>
              <w:jc w:val="center"/>
              <w:rPr>
                <w:rFonts w:hint="eastAsia" w:ascii="黑体" w:hAnsi="黑体" w:eastAsia="黑体" w:cs="黑体"/>
                <w:kern w:val="0"/>
                <w:szCs w:val="21"/>
              </w:rPr>
            </w:pPr>
            <w:r>
              <w:rPr>
                <w:rFonts w:hint="eastAsia" w:ascii="黑体" w:hAnsi="黑体" w:eastAsia="黑体" w:cs="黑体"/>
                <w:kern w:val="0"/>
                <w:szCs w:val="21"/>
              </w:rPr>
              <w:t>分管领导</w:t>
            </w:r>
          </w:p>
        </w:tc>
        <w:tc>
          <w:tcPr>
            <w:tcW w:w="1132" w:type="dxa"/>
            <w:tcBorders>
              <w:tl2br w:val="nil"/>
              <w:tr2bl w:val="nil"/>
            </w:tcBorders>
            <w:vAlign w:val="center"/>
          </w:tcPr>
          <w:p>
            <w:pPr>
              <w:widowControl/>
              <w:spacing w:line="330" w:lineRule="atLeast"/>
              <w:jc w:val="center"/>
              <w:rPr>
                <w:rFonts w:hint="eastAsia" w:ascii="黑体" w:hAnsi="黑体" w:eastAsia="黑体" w:cs="黑体"/>
                <w:kern w:val="0"/>
                <w:szCs w:val="21"/>
              </w:rPr>
            </w:pPr>
            <w:r>
              <w:rPr>
                <w:rFonts w:hint="eastAsia" w:ascii="黑体" w:hAnsi="黑体" w:eastAsia="黑体" w:cs="黑体"/>
                <w:kern w:val="0"/>
                <w:szCs w:val="21"/>
              </w:rPr>
              <w:t>单位负责人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823" w:hRule="atLeast"/>
          <w:jc w:val="center"/>
        </w:trPr>
        <w:tc>
          <w:tcPr>
            <w:tcW w:w="1156" w:type="dxa"/>
            <w:vMerge w:val="restart"/>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政策落实</w:t>
            </w:r>
          </w:p>
        </w:tc>
        <w:tc>
          <w:tcPr>
            <w:tcW w:w="1410" w:type="dxa"/>
            <w:vMerge w:val="restart"/>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及承办人</w:t>
            </w:r>
          </w:p>
        </w:tc>
        <w:tc>
          <w:tcPr>
            <w:tcW w:w="255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表现：违反农机购置补贴政策和有关规定或未严格执行农机购置补贴工作程序，造成国家补贴资金流失；农机购置补贴政策实施中，存在行贿受贿以及套（骗）取国家补贴资金等违规违纪行为。</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等级：一级</w:t>
            </w:r>
          </w:p>
        </w:tc>
        <w:tc>
          <w:tcPr>
            <w:tcW w:w="5535"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1.科学制定并严格执行农机购置补贴政策实施方案。</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2.建立健全农机购置补贴工作规程和制度。</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3.重大事项的处理实行集体研究、集体决策。</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4.农机购置补贴政策实施邀请纪检监察部门参与。</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5.加强党风廉政教育，严肃查处各种违规违纪行为。</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6.对不严格执行“三个严禁</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规定的和违规违纪操作的地区和人员，在行业内给予通报，并抄送纪检监察部门，涉嫌犯罪的移送司法机关处理；对参与违规违纪操作的企业，</w:t>
            </w:r>
            <w:r>
              <w:rPr>
                <w:rFonts w:hint="default" w:ascii="Times New Roman" w:hAnsi="Times New Roman" w:cs="Times New Roman"/>
                <w:kern w:val="0"/>
                <w:szCs w:val="21"/>
                <w:lang w:eastAsia="zh-CN"/>
              </w:rPr>
              <w:t>所销售产品不予报补。</w:t>
            </w:r>
          </w:p>
        </w:tc>
        <w:tc>
          <w:tcPr>
            <w:tcW w:w="1140" w:type="dxa"/>
            <w:vMerge w:val="restart"/>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w:t>
            </w:r>
            <w:r>
              <w:rPr>
                <w:rFonts w:hint="default" w:ascii="Times New Roman" w:hAnsi="Times New Roman" w:cs="Times New Roman"/>
                <w:kern w:val="0"/>
                <w:szCs w:val="21"/>
                <w:lang w:eastAsia="zh-CN"/>
              </w:rPr>
              <w:t>业</w:t>
            </w:r>
            <w:r>
              <w:rPr>
                <w:rFonts w:hint="default" w:ascii="Times New Roman" w:hAnsi="Times New Roman" w:cs="Times New Roman"/>
                <w:kern w:val="0"/>
                <w:szCs w:val="21"/>
              </w:rPr>
              <w:t>部门</w:t>
            </w:r>
            <w:r>
              <w:rPr>
                <w:rFonts w:hint="default" w:ascii="Times New Roman" w:hAnsi="Times New Roman" w:cs="Times New Roman"/>
                <w:kern w:val="0"/>
                <w:szCs w:val="21"/>
                <w:lang w:eastAsia="zh-CN"/>
              </w:rPr>
              <w:t>、乡镇</w:t>
            </w:r>
            <w:r>
              <w:rPr>
                <w:rFonts w:hint="default" w:ascii="Times New Roman" w:hAnsi="Times New Roman" w:cs="Times New Roman"/>
                <w:kern w:val="0"/>
                <w:szCs w:val="21"/>
              </w:rPr>
              <w:t>承办人</w:t>
            </w:r>
          </w:p>
        </w:tc>
        <w:tc>
          <w:tcPr>
            <w:tcW w:w="1132" w:type="dxa"/>
            <w:vMerge w:val="restart"/>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分管领导</w:t>
            </w:r>
          </w:p>
        </w:tc>
        <w:tc>
          <w:tcPr>
            <w:tcW w:w="1132" w:type="dxa"/>
            <w:vMerge w:val="restart"/>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015" w:hRule="atLeast"/>
          <w:jc w:val="center"/>
        </w:trPr>
        <w:tc>
          <w:tcPr>
            <w:tcW w:w="1156" w:type="dxa"/>
            <w:vMerge w:val="continue"/>
            <w:tcBorders>
              <w:tl2br w:val="nil"/>
              <w:tr2bl w:val="nil"/>
            </w:tcBorders>
            <w:vAlign w:val="center"/>
          </w:tcPr>
          <w:p>
            <w:pPr>
              <w:rPr>
                <w:rFonts w:hint="default" w:ascii="Times New Roman" w:hAnsi="Times New Roman" w:cs="Times New Roman"/>
              </w:rPr>
            </w:pPr>
          </w:p>
        </w:tc>
        <w:tc>
          <w:tcPr>
            <w:tcW w:w="1410" w:type="dxa"/>
            <w:vMerge w:val="continue"/>
            <w:tcBorders>
              <w:tl2br w:val="nil"/>
              <w:tr2bl w:val="nil"/>
            </w:tcBorders>
            <w:vAlign w:val="center"/>
          </w:tcPr>
          <w:p>
            <w:pPr>
              <w:rPr>
                <w:rFonts w:hint="default" w:ascii="Times New Roman" w:hAnsi="Times New Roman" w:cs="Times New Roman"/>
              </w:rPr>
            </w:pPr>
          </w:p>
        </w:tc>
        <w:tc>
          <w:tcPr>
            <w:tcW w:w="255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表现：违反规定确定补贴对象</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补贴资金结算不及时等。</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等级：二级</w:t>
            </w:r>
          </w:p>
        </w:tc>
        <w:tc>
          <w:tcPr>
            <w:tcW w:w="5535"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1.认真学习农机购置补贴政策和有关要求，严格按照程序和要求确定受益对象，确保公开、公平、公正。</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2.落实结算工作时限制和责任制，安排足够的人力，提供必要的工作条件，切实加快资金结算进度。</w:t>
            </w:r>
          </w:p>
        </w:tc>
        <w:tc>
          <w:tcPr>
            <w:tcW w:w="1140" w:type="dxa"/>
            <w:vMerge w:val="continue"/>
            <w:tcBorders>
              <w:tl2br w:val="nil"/>
              <w:tr2bl w:val="nil"/>
            </w:tcBorders>
            <w:vAlign w:val="center"/>
          </w:tcPr>
          <w:p>
            <w:pPr>
              <w:rPr>
                <w:rFonts w:hint="default" w:ascii="Times New Roman" w:hAnsi="Times New Roman" w:cs="Times New Roman"/>
              </w:rPr>
            </w:pPr>
          </w:p>
        </w:tc>
        <w:tc>
          <w:tcPr>
            <w:tcW w:w="1132" w:type="dxa"/>
            <w:vMerge w:val="continue"/>
            <w:tcBorders>
              <w:tl2br w:val="nil"/>
              <w:tr2bl w:val="nil"/>
            </w:tcBorders>
            <w:vAlign w:val="center"/>
          </w:tcPr>
          <w:p>
            <w:pPr>
              <w:rPr>
                <w:rFonts w:hint="default" w:ascii="Times New Roman" w:hAnsi="Times New Roman" w:cs="Times New Roman"/>
              </w:rPr>
            </w:pPr>
          </w:p>
        </w:tc>
        <w:tc>
          <w:tcPr>
            <w:tcW w:w="1132" w:type="dxa"/>
            <w:vMerge w:val="continue"/>
            <w:tcBorders>
              <w:tl2br w:val="nil"/>
              <w:tr2bl w:val="nil"/>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487" w:hRule="atLeast"/>
          <w:jc w:val="center"/>
        </w:trPr>
        <w:tc>
          <w:tcPr>
            <w:tcW w:w="1156" w:type="dxa"/>
            <w:vMerge w:val="continue"/>
            <w:tcBorders>
              <w:tl2br w:val="nil"/>
              <w:tr2bl w:val="nil"/>
            </w:tcBorders>
            <w:vAlign w:val="center"/>
          </w:tcPr>
          <w:p>
            <w:pPr>
              <w:rPr>
                <w:rFonts w:hint="default" w:ascii="Times New Roman" w:hAnsi="Times New Roman" w:cs="Times New Roman"/>
              </w:rPr>
            </w:pPr>
          </w:p>
        </w:tc>
        <w:tc>
          <w:tcPr>
            <w:tcW w:w="1410" w:type="dxa"/>
            <w:vMerge w:val="continue"/>
            <w:tcBorders>
              <w:tl2br w:val="nil"/>
              <w:tr2bl w:val="nil"/>
            </w:tcBorders>
            <w:vAlign w:val="center"/>
          </w:tcPr>
          <w:p>
            <w:pPr>
              <w:rPr>
                <w:rFonts w:hint="default" w:ascii="Times New Roman" w:hAnsi="Times New Roman" w:cs="Times New Roman"/>
              </w:rPr>
            </w:pPr>
          </w:p>
        </w:tc>
        <w:tc>
          <w:tcPr>
            <w:tcW w:w="255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表现：政策宣传不到位，信息公开不及时；档案管理不完善等。</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等级：三级</w:t>
            </w:r>
          </w:p>
        </w:tc>
        <w:tc>
          <w:tcPr>
            <w:tcW w:w="5535"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1.充分利用新闻媒体、网络、公告栏</w:t>
            </w:r>
            <w:r>
              <w:rPr>
                <w:rFonts w:hint="default" w:ascii="Times New Roman" w:hAnsi="Times New Roman" w:cs="Times New Roman"/>
                <w:kern w:val="0"/>
                <w:szCs w:val="21"/>
                <w:lang w:eastAsia="zh-CN"/>
              </w:rPr>
              <w:t>、宣传手册</w:t>
            </w:r>
            <w:r>
              <w:rPr>
                <w:rFonts w:hint="default" w:ascii="Times New Roman" w:hAnsi="Times New Roman" w:cs="Times New Roman"/>
                <w:kern w:val="0"/>
                <w:szCs w:val="21"/>
              </w:rPr>
              <w:t>等，加强农机购置补贴政策宣传，主动、及时公开信息，让广大农民了解并知晓农机购置补贴政策、工作程序、办理地点、购机手续、咨询服务电话等，主动接受社会监督。</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2.安排专人收集、整理、归档立卷农机购置补贴资料，确保资料完整、信息准确。</w:t>
            </w:r>
          </w:p>
        </w:tc>
        <w:tc>
          <w:tcPr>
            <w:tcW w:w="1140" w:type="dxa"/>
            <w:vMerge w:val="continue"/>
            <w:tcBorders>
              <w:tl2br w:val="nil"/>
              <w:tr2bl w:val="nil"/>
            </w:tcBorders>
            <w:vAlign w:val="center"/>
          </w:tcPr>
          <w:p>
            <w:pPr>
              <w:rPr>
                <w:rFonts w:hint="default" w:ascii="Times New Roman" w:hAnsi="Times New Roman" w:cs="Times New Roman"/>
              </w:rPr>
            </w:pPr>
          </w:p>
        </w:tc>
        <w:tc>
          <w:tcPr>
            <w:tcW w:w="1132" w:type="dxa"/>
            <w:vMerge w:val="continue"/>
            <w:tcBorders>
              <w:tl2br w:val="nil"/>
              <w:tr2bl w:val="nil"/>
            </w:tcBorders>
            <w:vAlign w:val="center"/>
          </w:tcPr>
          <w:p>
            <w:pPr>
              <w:rPr>
                <w:rFonts w:hint="default" w:ascii="Times New Roman" w:hAnsi="Times New Roman" w:cs="Times New Roman"/>
              </w:rPr>
            </w:pPr>
          </w:p>
        </w:tc>
        <w:tc>
          <w:tcPr>
            <w:tcW w:w="1132" w:type="dxa"/>
            <w:vMerge w:val="continue"/>
            <w:tcBorders>
              <w:tl2br w:val="nil"/>
              <w:tr2bl w:val="nil"/>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631" w:hRule="atLeast"/>
          <w:jc w:val="center"/>
        </w:trPr>
        <w:tc>
          <w:tcPr>
            <w:tcW w:w="1156" w:type="dxa"/>
            <w:tcBorders>
              <w:tl2br w:val="nil"/>
              <w:tr2bl w:val="nil"/>
            </w:tcBorders>
            <w:vAlign w:val="center"/>
          </w:tcPr>
          <w:p>
            <w:pPr>
              <w:widowControl/>
              <w:spacing w:line="330" w:lineRule="atLeast"/>
              <w:ind w:firstLine="105" w:firstLineChars="50"/>
              <w:jc w:val="left"/>
              <w:rPr>
                <w:rFonts w:hint="default" w:ascii="Times New Roman" w:hAnsi="Times New Roman" w:cs="Times New Roman"/>
                <w:kern w:val="0"/>
                <w:szCs w:val="21"/>
              </w:rPr>
            </w:pPr>
            <w:r>
              <w:rPr>
                <w:rFonts w:hint="default" w:ascii="Times New Roman" w:hAnsi="Times New Roman" w:cs="Times New Roman"/>
                <w:kern w:val="0"/>
                <w:szCs w:val="21"/>
              </w:rPr>
              <w:t>监督管理</w:t>
            </w:r>
          </w:p>
        </w:tc>
        <w:tc>
          <w:tcPr>
            <w:tcW w:w="141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及承办人</w:t>
            </w:r>
          </w:p>
        </w:tc>
        <w:tc>
          <w:tcPr>
            <w:tcW w:w="255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表现：监管重点不明确；机具核查工作不到位。</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等级：二级</w:t>
            </w:r>
          </w:p>
        </w:tc>
        <w:tc>
          <w:tcPr>
            <w:tcW w:w="5535"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1.通过四川省农机购置补贴管理</w:t>
            </w:r>
            <w:r>
              <w:rPr>
                <w:rFonts w:hint="default" w:ascii="Times New Roman" w:hAnsi="Times New Roman" w:cs="Times New Roman"/>
                <w:kern w:val="0"/>
                <w:szCs w:val="21"/>
                <w:lang w:eastAsia="zh-CN"/>
              </w:rPr>
              <w:t>辅助</w:t>
            </w:r>
            <w:r>
              <w:rPr>
                <w:rFonts w:hint="default" w:ascii="Times New Roman" w:hAnsi="Times New Roman" w:cs="Times New Roman"/>
                <w:kern w:val="0"/>
                <w:szCs w:val="21"/>
              </w:rPr>
              <w:t>系统完成农机购置补贴工作。</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2.加强购置补贴机具真实性的核查，责任到人。</w:t>
            </w:r>
          </w:p>
          <w:p>
            <w:pPr>
              <w:widowControl/>
              <w:spacing w:line="330" w:lineRule="atLeas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3.对购买机具数量多、申请补贴额度高的补贴对象要进行重点监控，事前严格审查、事后密切跟踪机具使用情况。</w:t>
            </w:r>
          </w:p>
          <w:p>
            <w:pPr>
              <w:widowControl/>
              <w:spacing w:line="330" w:lineRule="atLeas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 xml:space="preserve">4.加大对农机产销企业的监督检查。 </w:t>
            </w:r>
          </w:p>
        </w:tc>
        <w:tc>
          <w:tcPr>
            <w:tcW w:w="114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、乡镇</w:t>
            </w:r>
            <w:r>
              <w:rPr>
                <w:rFonts w:hint="default" w:ascii="Times New Roman" w:hAnsi="Times New Roman" w:cs="Times New Roman"/>
                <w:kern w:val="0"/>
                <w:szCs w:val="21"/>
              </w:rPr>
              <w:t>承办人</w:t>
            </w:r>
          </w:p>
        </w:tc>
        <w:tc>
          <w:tcPr>
            <w:tcW w:w="1132"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分管领导</w:t>
            </w:r>
          </w:p>
        </w:tc>
        <w:tc>
          <w:tcPr>
            <w:tcW w:w="1132"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08" w:hRule="atLeast"/>
          <w:jc w:val="center"/>
        </w:trPr>
        <w:tc>
          <w:tcPr>
            <w:tcW w:w="1156" w:type="dxa"/>
            <w:tcBorders>
              <w:tl2br w:val="nil"/>
              <w:tr2bl w:val="nil"/>
            </w:tcBorders>
            <w:vAlign w:val="center"/>
          </w:tcPr>
          <w:p>
            <w:pPr>
              <w:widowControl/>
              <w:spacing w:line="330" w:lineRule="atLeast"/>
              <w:ind w:left="105" w:leftChars="50"/>
              <w:jc w:val="center"/>
              <w:rPr>
                <w:rFonts w:hint="default" w:ascii="Times New Roman" w:hAnsi="Times New Roman" w:cs="Times New Roman"/>
                <w:kern w:val="0"/>
                <w:szCs w:val="21"/>
              </w:rPr>
            </w:pPr>
            <w:r>
              <w:rPr>
                <w:rFonts w:hint="default" w:ascii="Times New Roman" w:hAnsi="Times New Roman" w:cs="Times New Roman"/>
                <w:kern w:val="0"/>
                <w:szCs w:val="21"/>
              </w:rPr>
              <w:t>投诉举报 监管</w:t>
            </w:r>
          </w:p>
        </w:tc>
        <w:tc>
          <w:tcPr>
            <w:tcW w:w="141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及承办人</w:t>
            </w:r>
          </w:p>
        </w:tc>
        <w:tc>
          <w:tcPr>
            <w:tcW w:w="255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表现：对各类反映问题的信访事项和投诉举报处理不及时，调查不彻底；对问题地区或责任人未处理。</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等级：二级</w:t>
            </w:r>
          </w:p>
        </w:tc>
        <w:tc>
          <w:tcPr>
            <w:tcW w:w="5535"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1.公布补贴咨询投诉电话，随时受理投诉举报；</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2.指派专人负责投诉举报的整理、登记，实行首问责任制，专本记录，及时调查处理。</w:t>
            </w:r>
          </w:p>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　　3.对于经核查确有问题的，按有关规定和程序严肃处理，决不姑息。</w:t>
            </w:r>
          </w:p>
        </w:tc>
        <w:tc>
          <w:tcPr>
            <w:tcW w:w="1140"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、乡镇</w:t>
            </w:r>
            <w:r>
              <w:rPr>
                <w:rFonts w:hint="default" w:ascii="Times New Roman" w:hAnsi="Times New Roman" w:cs="Times New Roman"/>
                <w:kern w:val="0"/>
                <w:szCs w:val="21"/>
              </w:rPr>
              <w:t>承办人</w:t>
            </w:r>
          </w:p>
        </w:tc>
        <w:tc>
          <w:tcPr>
            <w:tcW w:w="1132"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分管领导</w:t>
            </w:r>
          </w:p>
        </w:tc>
        <w:tc>
          <w:tcPr>
            <w:tcW w:w="1132" w:type="dxa"/>
            <w:tcBorders>
              <w:tl2br w:val="nil"/>
              <w:tr2bl w:val="nil"/>
            </w:tcBorders>
            <w:vAlign w:val="center"/>
          </w:tcPr>
          <w:p>
            <w:pPr>
              <w:widowControl/>
              <w:spacing w:line="33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农机主管部门</w:t>
            </w:r>
            <w:r>
              <w:rPr>
                <w:rFonts w:hint="default" w:ascii="Times New Roman" w:hAnsi="Times New Roman" w:cs="Times New Roman"/>
                <w:kern w:val="0"/>
                <w:szCs w:val="21"/>
                <w:lang w:eastAsia="zh-CN"/>
              </w:rPr>
              <w:t>和乡镇</w:t>
            </w:r>
            <w:r>
              <w:rPr>
                <w:rFonts w:hint="default" w:ascii="Times New Roman" w:hAnsi="Times New Roman" w:cs="Times New Roman"/>
                <w:kern w:val="0"/>
                <w:szCs w:val="21"/>
              </w:rPr>
              <w:t>负责人</w:t>
            </w:r>
          </w:p>
        </w:tc>
      </w:tr>
    </w:tbl>
    <w:p>
      <w:pPr>
        <w:rPr>
          <w:rFonts w:hint="default" w:ascii="Times New Roman" w:hAnsi="Times New Roman" w:eastAsia="仿宋_GB2312" w:cs="Times New Roman"/>
          <w:sz w:val="32"/>
          <w:szCs w:val="32"/>
        </w:rPr>
        <w:sectPr>
          <w:headerReference r:id="rId5" w:type="default"/>
          <w:footerReference r:id="rId7" w:type="default"/>
          <w:headerReference r:id="rId6" w:type="even"/>
          <w:footerReference r:id="rId8" w:type="even"/>
          <w:pgSz w:w="16838" w:h="11906" w:orient="landscape"/>
          <w:pgMar w:top="1587" w:right="2098" w:bottom="1474" w:left="1984" w:header="851" w:footer="1247" w:gutter="0"/>
          <w:paperSrc/>
          <w:pgBorders>
            <w:top w:val="none" w:sz="0" w:space="0"/>
            <w:left w:val="none" w:sz="0" w:space="0"/>
            <w:bottom w:val="none" w:sz="0" w:space="0"/>
            <w:right w:val="none" w:sz="0" w:space="0"/>
          </w:pgBorders>
          <w:pgNumType w:fmt="decimal"/>
          <w:cols w:space="0" w:num="1"/>
          <w:rtlGutter w:val="0"/>
          <w:docGrid w:type="lines" w:linePitch="327" w:charSpace="0"/>
        </w:sect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pBdr>
          <w:top w:val="single" w:color="auto" w:sz="4" w:space="1"/>
          <w:bottom w:val="single" w:color="auto" w:sz="4" w:space="1"/>
        </w:pBdr>
        <w:spacing w:line="500" w:lineRule="exact"/>
        <w:ind w:firstLine="280" w:firstLineChars="100"/>
        <w:jc w:val="left"/>
        <w:textAlignment w:val="center"/>
        <w:rPr>
          <w:rFonts w:hint="default" w:ascii="Times New Roman" w:hAnsi="Times New Roman" w:cs="Times New Roman"/>
          <w:lang w:val="en-US" w:eastAsia="zh-CN"/>
        </w:rPr>
      </w:pPr>
      <w:r>
        <w:rPr>
          <w:rFonts w:hint="default" w:ascii="Times New Roman" w:hAnsi="Times New Roman" w:eastAsia="仿宋_GB2312" w:cs="Times New Roman"/>
          <w:b w:val="0"/>
          <w:bCs w:val="0"/>
          <w:sz w:val="28"/>
          <w:szCs w:val="28"/>
        </w:rPr>
        <w:t xml:space="preserve">广元市昭化区农业局办公室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201</w:t>
      </w:r>
      <w:r>
        <w:rPr>
          <w:rFonts w:hint="default"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rPr>
        <w:t>年</w:t>
      </w:r>
      <w:r>
        <w:rPr>
          <w:rFonts w:hint="eastAsia"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rPr>
        <w:t>月</w:t>
      </w:r>
      <w:r>
        <w:rPr>
          <w:rFonts w:hint="default" w:ascii="Times New Roman" w:hAnsi="Times New Roman" w:eastAsia="仿宋_GB2312" w:cs="Times New Roman"/>
          <w:b w:val="0"/>
          <w:bCs w:val="0"/>
          <w:sz w:val="28"/>
          <w:szCs w:val="28"/>
          <w:lang w:val="en-US" w:eastAsia="zh-CN"/>
        </w:rPr>
        <w:t>2</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rPr>
        <w:t>日印</w:t>
      </w:r>
    </w:p>
    <w:sectPr>
      <w:footerReference r:id="rId9" w:type="default"/>
      <w:pgSz w:w="11906" w:h="16838"/>
      <w:pgMar w:top="2098" w:right="1474" w:bottom="1984" w:left="1587" w:header="851" w:footer="1247" w:gutter="0"/>
      <w:paperSrc/>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pBdr>
                            <w:snapToGrid w:val="0"/>
                            <w:jc w:val="both"/>
                            <w:rPr>
                              <w:rStyle w:val="6"/>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Bdr>
                        <w:top w:val="none" w:color="auto" w:sz="0" w:space="0"/>
                        <w:left w:val="none" w:color="auto" w:sz="0" w:space="0"/>
                        <w:bottom w:val="none" w:color="auto" w:sz="0" w:space="0"/>
                        <w:right w:val="none" w:color="auto" w:sz="0" w:space="0"/>
                      </w:pBdr>
                      <w:snapToGrid w:val="0"/>
                      <w:jc w:val="both"/>
                      <w:rPr>
                        <w:rStyle w:val="6"/>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946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46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both"/>
                            <w:rPr>
                              <w:rFonts w:hint="eastAsia" w:eastAsiaTheme="minorEastAsia"/>
                              <w:sz w:val="1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4.7pt;mso-position-horizontal:left;mso-position-horizontal-relative:margin;z-index:251658240;mso-width-relative:page;mso-height-relative:page;" filled="f" stroked="f" coordsize="21600,21600" o:gfxdata="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guVfWAAAACAEAAA8A&#10;AAAAAAAAAQAgAAAAIgAAAGRycy9kb3ducmV2LnhtbFBLAQIUABQAAAAIAIdO4kDxrLoqGQIAABQE&#10;AAAOAAAAAAAAAAEAIAAAACUBAABkcnMvZTJvRG9jLnhtbFBLBQYAAAAABgAGAFkBAACwBQAAAAA=&#10;">
              <v:fill on="f" focussize="0,0"/>
              <v:stroke on="f" weight="0.5pt"/>
              <v:imagedata o:title=""/>
              <o:lock v:ext="edit" aspectratio="f"/>
              <v:textbox inset="0mm,0mm,0mm,0mm" style="mso-fit-shape-to-text:t;">
                <w:txbxContent>
                  <w:p>
                    <w:pPr>
                      <w:snapToGrid w:val="0"/>
                      <w:jc w:val="both"/>
                      <w:rPr>
                        <w:rFonts w:hint="eastAsia" w:eastAsiaTheme="minorEastAsia"/>
                        <w:sz w:val="1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both"/>
    </w:pPr>
    <w:r>
      <w:rPr>
        <w:rFonts w:hint="eastAsia"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9469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946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both"/>
                            <w:rPr>
                              <w:rFonts w:hint="eastAsia" w:eastAsiaTheme="minorEastAsia"/>
                              <w:sz w:val="1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4.7pt;mso-position-horizontal:outside;mso-position-horizontal-relative:margin;z-index:251660288;mso-width-relative:page;mso-height-relative:page;" filled="f" stroked="f" coordsize="21600,21600" o:gfxdata="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0UMiXUAAAABQEAAA8A&#10;AAAAAAAAAQAgAAAAIgAAAGRycy9kb3ducmV2LnhtbFBLAQIUABQAAAAIAIdO4kDK7KInGwIAABQE&#10;AAAOAAAAAAAAAAEAIAAAACMBAABkcnMvZTJvRG9jLnhtbFBLBQYAAAAABgAGAFkBAACwBQAAAAA=&#10;">
              <v:fill on="f" focussize="0,0"/>
              <v:stroke on="f" weight="0.5pt"/>
              <v:imagedata o:title=""/>
              <o:lock v:ext="edit" aspectratio="f"/>
              <v:textbox inset="0mm,0mm,0mm,0mm" style="mso-fit-shape-to-text:t;">
                <w:txbxContent>
                  <w:p>
                    <w:pPr>
                      <w:snapToGrid w:val="0"/>
                      <w:jc w:val="both"/>
                      <w:rPr>
                        <w:rFonts w:hint="eastAsia" w:eastAsiaTheme="minorEastAsia"/>
                        <w:sz w:val="1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7226"/>
    <w:rsid w:val="02E3097E"/>
    <w:rsid w:val="0CD0652F"/>
    <w:rsid w:val="128E042D"/>
    <w:rsid w:val="13851EEC"/>
    <w:rsid w:val="1B947161"/>
    <w:rsid w:val="1D767E8A"/>
    <w:rsid w:val="212343BE"/>
    <w:rsid w:val="23C47B55"/>
    <w:rsid w:val="2AB208B6"/>
    <w:rsid w:val="2B051FE1"/>
    <w:rsid w:val="2C8D1F47"/>
    <w:rsid w:val="34650C53"/>
    <w:rsid w:val="3D590DF0"/>
    <w:rsid w:val="3FFD2129"/>
    <w:rsid w:val="404F68D0"/>
    <w:rsid w:val="48FA4D84"/>
    <w:rsid w:val="4B8C5797"/>
    <w:rsid w:val="52CF5D38"/>
    <w:rsid w:val="59537B57"/>
    <w:rsid w:val="5FA051BB"/>
    <w:rsid w:val="64C622C7"/>
    <w:rsid w:val="64EE7E2E"/>
    <w:rsid w:val="67B11BE3"/>
    <w:rsid w:val="6ABD0608"/>
    <w:rsid w:val="6D9E5EE2"/>
    <w:rsid w:val="6DF97E57"/>
    <w:rsid w:val="6E5F0ADA"/>
    <w:rsid w:val="7F164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01"/>
    <w:basedOn w:val="5"/>
    <w:qFormat/>
    <w:uiPriority w:val="0"/>
    <w:rPr>
      <w:rFonts w:hint="default" w:ascii="Tahoma" w:hAnsi="Tahoma" w:eastAsia="Tahoma" w:cs="Tahoma"/>
      <w:color w:val="000000"/>
      <w:sz w:val="32"/>
      <w:szCs w:val="32"/>
      <w:u w:val="none"/>
    </w:rPr>
  </w:style>
  <w:style w:type="character" w:customStyle="1" w:styleId="10">
    <w:name w:val="font1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霞光文印部</cp:lastModifiedBy>
  <cp:lastPrinted>2018-06-29T09:14:52Z</cp:lastPrinted>
  <dcterms:modified xsi:type="dcterms:W3CDTF">2018-06-29T09:30:32Z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