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县农机购置补贴事项</w:t>
      </w:r>
    </w:p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p>
      <w:pPr>
        <w:pStyle w:val="2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1.需集体决策的购机补贴事项由农机股提出，经分管领导同意后组织召开。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4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4"/>
          <w:rFonts w:hint="eastAsia" w:ascii="仿宋_GB2312" w:eastAsia="仿宋_GB2312"/>
          <w:color w:val="333333"/>
          <w:sz w:val="32"/>
          <w:szCs w:val="32"/>
          <w:lang w:eastAsia="zh-CN"/>
        </w:rPr>
        <w:t>红原</w:t>
      </w:r>
      <w:r>
        <w:rPr>
          <w:rStyle w:val="4"/>
          <w:rFonts w:hint="eastAsia" w:ascii="仿宋_GB2312" w:eastAsia="仿宋_GB2312"/>
          <w:color w:val="333333"/>
          <w:sz w:val="32"/>
          <w:szCs w:val="32"/>
        </w:rPr>
        <w:t>县农业畜牧和水务局局农机监理站（股）负责解释。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0F50"/>
    <w:rsid w:val="0EFE2CBB"/>
    <w:rsid w:val="39A30F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2018-12-05T06:44:00Z</dcterms:created>
  <dc:creator>Administrator</dc:creator>
  <cp:lastModifiedBy>空白</cp:lastModifiedBy>
  <dcterms:modified xsi:type="dcterms:W3CDTF">2018-12-05T07:41:16Z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