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b/>
          <w:szCs w:val="21"/>
        </w:rPr>
      </w:pPr>
    </w:p>
    <w:p>
      <w:pPr>
        <w:spacing w:line="600" w:lineRule="exact"/>
        <w:jc w:val="center"/>
        <w:rPr>
          <w:rFonts w:ascii="宋体"/>
          <w:b/>
          <w:szCs w:val="21"/>
        </w:rPr>
      </w:pPr>
    </w:p>
    <w:p>
      <w:pPr>
        <w:spacing w:line="600" w:lineRule="exact"/>
        <w:jc w:val="center"/>
        <w:rPr>
          <w:rFonts w:ascii="宋体"/>
          <w:b/>
          <w:szCs w:val="21"/>
        </w:rPr>
      </w:pPr>
    </w:p>
    <w:p>
      <w:pPr>
        <w:jc w:val="center"/>
        <w:rPr>
          <w:rFonts w:ascii="仿宋_GB2312" w:eastAsia="仿宋_GB2312"/>
          <w:color w:val="000000" w:themeColor="text1"/>
          <w:sz w:val="32"/>
          <w:szCs w:val="32"/>
          <w14:textFill>
            <w14:solidFill>
              <w14:schemeClr w14:val="tx1"/>
            </w14:solidFill>
          </w14:textFill>
        </w:rPr>
      </w:pPr>
      <w:r>
        <w:rPr>
          <w:rFonts w:ascii="仿宋_GB2312" w:eastAsia="仿宋_GB2312"/>
          <w:sz w:val="32"/>
          <w:szCs w:val="32"/>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广农函〔</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192</w:t>
      </w:r>
      <w:r>
        <w:rPr>
          <w:rFonts w:hint="eastAsia" w:ascii="仿宋_GB2312" w:eastAsia="仿宋_GB2312"/>
          <w:color w:val="000000" w:themeColor="text1"/>
          <w:sz w:val="32"/>
          <w:szCs w:val="32"/>
          <w14:textFill>
            <w14:solidFill>
              <w14:schemeClr w14:val="tx1"/>
            </w14:solidFill>
          </w14:textFill>
        </w:rPr>
        <w:t>号</w:t>
      </w:r>
    </w:p>
    <w:p>
      <w:pPr>
        <w:keepNext w:val="0"/>
        <w:keepLines w:val="0"/>
        <w:pageBreakBefore w:val="0"/>
        <w:widowControl/>
        <w:suppressLineNumbers w:val="0"/>
        <w:tabs>
          <w:tab w:val="left" w:pos="0"/>
          <w:tab w:val="left" w:pos="4620"/>
        </w:tabs>
        <w:kinsoku/>
        <w:wordWrap/>
        <w:overflowPunct/>
        <w:topLinePunct w:val="0"/>
        <w:autoSpaceDE/>
        <w:autoSpaceDN/>
        <w:bidi w:val="0"/>
        <w:adjustRightInd/>
        <w:snapToGrid/>
        <w:spacing w:afterAutospacing="0" w:line="720" w:lineRule="exact"/>
        <w:ind w:left="0" w:leftChars="0" w:hanging="11" w:firstLineChars="0"/>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广元市农业农村局　　</w:t>
      </w:r>
      <w:r>
        <w:rPr>
          <w:rFonts w:hint="eastAsia" w:ascii="方正小标宋简体" w:hAnsi="方正小标宋简体" w:eastAsia="方正小标宋简体" w:cs="方正小标宋简体"/>
          <w:sz w:val="44"/>
          <w:szCs w:val="44"/>
          <w:lang w:val="en-US" w:eastAsia="zh-CN"/>
        </w:rPr>
        <w:t>广元市财政局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关于转发《四川省2021-2023年农机购置补贴实施指导意见》等文件的通知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各县区农业农村局、财政局：</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现将《四川省农业农村厅　四川省财政厅关于印发&lt;四川省2021-2023年农机购置补贴实施指导意见&gt;的通知》（川农发［2021］124号）和《四川省农业农村厅 四川省财政厅关于印发&lt;四川省2021-2023年农业机械购置补贴额一览表（第一批）&gt;的通知》（川农发［2021］125号）转发给你们。请你们高度重视，结合实际，科学制定2021-2023年农机购置补贴实施方案，并于2021年9月18日前将实施方案报市农业农村局、市财政局备案。联系人：市农业农村局王晓刚，电话13678392995,市财政局张剑鸣，电话13908129388。</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sectPr>
          <w:pgSz w:w="11906" w:h="16838"/>
          <w:pgMar w:top="1587" w:right="1587" w:bottom="1587"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各地要进一步加强宣传，强化资金管理，及时全面公开农机购置补贴信息，严惩违规行为，不断提升农业机械化产业链</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现代化水平，促进全市农业机械化向全程全面高质高效转型升级。</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　　　　广元市农业农村局</w:t>
      </w:r>
      <w:r>
        <w:rPr>
          <w:rFonts w:hint="eastAsia" w:ascii="仿宋_GB2312" w:hAnsi="仿宋_GB2312" w:eastAsia="仿宋_GB2312" w:cs="仿宋_GB2312"/>
          <w:b w:val="0"/>
          <w:bCs w:val="0"/>
          <w:sz w:val="32"/>
          <w:szCs w:val="32"/>
          <w:lang w:val="en-US" w:eastAsia="zh-CN"/>
        </w:rPr>
        <w:t xml:space="preserve">              广元市财政局</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2021年8月12日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spacing w:line="620" w:lineRule="exact"/>
        <w:jc w:val="center"/>
        <w:textAlignment w:val="baseline"/>
        <w:rPr>
          <w:rFonts w:hint="eastAsia" w:ascii="方正小标宋简体" w:hAnsi="方正小标宋简体" w:eastAsia="方正小标宋简体" w:cs="方正小标宋简体"/>
          <w:kern w:val="21"/>
          <w:sz w:val="44"/>
          <w:szCs w:val="44"/>
        </w:rPr>
      </w:pPr>
    </w:p>
    <w:p>
      <w:pPr>
        <w:spacing w:line="620" w:lineRule="exact"/>
        <w:jc w:val="center"/>
        <w:textAlignment w:val="baseline"/>
        <w:rPr>
          <w:rFonts w:hint="eastAsia" w:ascii="方正小标宋简体" w:hAnsi="方正小标宋简体" w:eastAsia="方正小标宋简体" w:cs="方正小标宋简体"/>
          <w:kern w:val="21"/>
          <w:sz w:val="44"/>
          <w:szCs w:val="44"/>
        </w:rPr>
      </w:pPr>
    </w:p>
    <w:p>
      <w:pPr>
        <w:spacing w:line="620" w:lineRule="exact"/>
        <w:jc w:val="center"/>
        <w:textAlignment w:val="baseline"/>
        <w:rPr>
          <w:rFonts w:hint="eastAsia" w:ascii="方正小标宋简体" w:hAnsi="方正小标宋简体" w:eastAsia="方正小标宋简体" w:cs="方正小标宋简体"/>
          <w:kern w:val="21"/>
          <w:sz w:val="44"/>
          <w:szCs w:val="44"/>
        </w:rPr>
      </w:pPr>
    </w:p>
    <w:p>
      <w:pPr>
        <w:spacing w:line="620" w:lineRule="exact"/>
        <w:jc w:val="center"/>
        <w:textAlignment w:val="baseline"/>
        <w:rPr>
          <w:rFonts w:hint="eastAsia" w:ascii="方正小标宋简体" w:hAnsi="方正小标宋简体" w:eastAsia="方正小标宋简体" w:cs="方正小标宋简体"/>
          <w:kern w:val="21"/>
          <w:sz w:val="44"/>
          <w:szCs w:val="44"/>
        </w:rPr>
      </w:pPr>
    </w:p>
    <w:p>
      <w:pPr>
        <w:spacing w:line="620" w:lineRule="exact"/>
        <w:jc w:val="center"/>
        <w:textAlignment w:val="baseline"/>
        <w:rPr>
          <w:rFonts w:hint="eastAsia" w:ascii="方正小标宋简体" w:hAnsi="方正小标宋简体" w:eastAsia="方正小标宋简体" w:cs="方正小标宋简体"/>
          <w:kern w:val="21"/>
          <w:sz w:val="44"/>
          <w:szCs w:val="44"/>
        </w:rPr>
      </w:pPr>
    </w:p>
    <w:p>
      <w:pPr>
        <w:spacing w:line="620" w:lineRule="exact"/>
        <w:jc w:val="center"/>
        <w:textAlignment w:val="baseline"/>
        <w:rPr>
          <w:rFonts w:hint="eastAsia" w:ascii="方正小标宋简体" w:hAnsi="方正小标宋简体" w:eastAsia="方正小标宋简体" w:cs="方正小标宋简体"/>
          <w:kern w:val="21"/>
          <w:sz w:val="44"/>
          <w:szCs w:val="44"/>
        </w:rPr>
      </w:pPr>
    </w:p>
    <w:p>
      <w:pPr>
        <w:spacing w:line="620" w:lineRule="exact"/>
        <w:jc w:val="center"/>
        <w:textAlignment w:val="baseline"/>
        <w:rPr>
          <w:rFonts w:hint="eastAsia" w:ascii="方正小标宋简体" w:hAnsi="方正小标宋简体" w:eastAsia="方正小标宋简体" w:cs="方正小标宋简体"/>
          <w:kern w:val="21"/>
          <w:sz w:val="44"/>
          <w:szCs w:val="44"/>
        </w:rPr>
      </w:pP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四川省2021—2023年农机购置补贴</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实施指导意见</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一、总体要求</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坚持以习近平新时代中国特色社会主义思想为指导，全面贯彻党的十九大和十九届二中、三中、四中、五中全会精神，落实党中央国务院和省委省政府“三农”工作决策部署，根据《四川省人民政府关于加快推进农业机械化和农机装备产业转型升级的实施意见》（川府发〔2019〕24号）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丘陵山区突破发展，促进全省农业机械化向全程全面高质高效转型升级，加快提升农业机械化产业链现代化水平，为实施乡村振兴战略、推进农业农村现代化提供坚实支撑。</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二、实施重点</w:t>
      </w:r>
    </w:p>
    <w:p>
      <w:pPr>
        <w:pStyle w:val="7"/>
        <w:spacing w:before="0" w:beforeAutospacing="0" w:after="0" w:afterAutospacing="0" w:line="620" w:lineRule="exact"/>
        <w:jc w:val="both"/>
        <w:textAlignment w:val="baseline"/>
        <w:rPr>
          <w:rFonts w:ascii="仿宋_GB2312" w:hAnsi="仿宋_GB2312" w:eastAsia="仿宋_GB2312" w:cs="仿宋_GB2312"/>
          <w:spacing w:val="-6"/>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（一）在支持重点产业方面着力突出稳产保供。</w:t>
      </w:r>
      <w:r>
        <w:rPr>
          <w:rFonts w:hint="eastAsia" w:ascii="仿宋_GB2312" w:hAnsi="仿宋_GB2312" w:eastAsia="仿宋_GB2312" w:cs="仿宋_GB2312"/>
          <w:kern w:val="21"/>
          <w:sz w:val="32"/>
          <w:szCs w:val="32"/>
        </w:rPr>
        <w:t>将粮食、生猪等重要农畜产品生产所需机具全部列入补贴范围，</w:t>
      </w:r>
      <w:r>
        <w:rPr>
          <w:rFonts w:hint="eastAsia" w:ascii="仿宋_GB2312" w:hAnsi="仿宋_GB2312" w:eastAsia="仿宋_GB2312" w:cs="仿宋_GB2312"/>
          <w:spacing w:val="-6"/>
          <w:kern w:val="21"/>
          <w:sz w:val="32"/>
          <w:szCs w:val="32"/>
        </w:rPr>
        <w:t>应补尽补。将育秧、烘干、标准化猪舍、畜禽粪污资源化利用等方面成套设施装备纳入农机新产品补贴试点范围，加快推广应用步伐。</w:t>
      </w:r>
    </w:p>
    <w:p>
      <w:pPr>
        <w:pStyle w:val="7"/>
        <w:spacing w:before="0" w:beforeAutospacing="0" w:after="0" w:afterAutospacing="0" w:line="620" w:lineRule="exact"/>
        <w:jc w:val="both"/>
        <w:textAlignment w:val="baseline"/>
        <w:rPr>
          <w:rFonts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（二）在支持重点区域方面着力突出协调发展。</w:t>
      </w:r>
      <w:r>
        <w:rPr>
          <w:rFonts w:hint="eastAsia" w:ascii="仿宋_GB2312" w:hAnsi="仿宋_GB2312" w:eastAsia="仿宋_GB2312" w:cs="仿宋_GB2312"/>
          <w:kern w:val="21"/>
          <w:sz w:val="32"/>
          <w:szCs w:val="32"/>
        </w:rPr>
        <w:t>将丘陵地区适宜的轻简型农机装备纳入补贴范围，应补尽补。提高丘陵山区特色产业发展急需产品的补贴标准。</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（三）在补贴资质方面着力突出科技创新。</w:t>
      </w:r>
      <w:r>
        <w:rPr>
          <w:rFonts w:hint="eastAsia" w:ascii="仿宋_GB2312" w:hAnsi="仿宋_GB2312" w:eastAsia="仿宋_GB2312" w:cs="仿宋_GB2312"/>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（四）在补贴标准方面着力突出“有升有降”。</w:t>
      </w:r>
      <w:r>
        <w:rPr>
          <w:rFonts w:hint="eastAsia" w:ascii="仿宋_GB2312" w:hAnsi="仿宋_GB2312" w:eastAsia="仿宋_GB2312" w:cs="仿宋_GB2312"/>
          <w:b/>
          <w:bCs/>
          <w:kern w:val="21"/>
          <w:sz w:val="32"/>
          <w:szCs w:val="32"/>
        </w:rPr>
        <w:t>一是</w:t>
      </w:r>
      <w:r>
        <w:rPr>
          <w:rFonts w:hint="eastAsia" w:ascii="仿宋_GB2312" w:hAnsi="仿宋_GB2312" w:eastAsia="仿宋_GB2312" w:cs="仿宋_GB2312"/>
          <w:kern w:val="21"/>
          <w:sz w:val="32"/>
          <w:szCs w:val="32"/>
        </w:rPr>
        <w:t>提升部分重点补贴机具补贴额，测算比例从30%提高到35%，包括水稻插（抛）秧机、玉米籽粒收获机、马铃薯播种收获机等粮油生产薄弱环节所需机具，丘陵山区特色产业发展急需的新机具以及智能、复式、高端产品。</w:t>
      </w:r>
      <w:r>
        <w:rPr>
          <w:rFonts w:hint="eastAsia" w:ascii="仿宋_GB2312" w:hAnsi="仿宋_GB2312" w:eastAsia="仿宋_GB2312" w:cs="仿宋_GB2312"/>
          <w:b/>
          <w:bCs/>
          <w:kern w:val="21"/>
          <w:sz w:val="32"/>
          <w:szCs w:val="32"/>
        </w:rPr>
        <w:t>二是</w:t>
      </w:r>
      <w:r>
        <w:rPr>
          <w:rFonts w:hint="eastAsia" w:ascii="仿宋_GB2312" w:hAnsi="仿宋_GB2312" w:eastAsia="仿宋_GB2312" w:cs="仿宋_GB2312"/>
          <w:kern w:val="21"/>
          <w:sz w:val="32"/>
          <w:szCs w:val="32"/>
        </w:rPr>
        <w:t>逐步降低区域内保有量明显过多、技术相对落后的轮式拖拉机等机具品目的补贴额，到2023年将其补贴额测算比例降低至15%及以下，并将部分低价值的机具退出补贴范围。</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（五）在政策实施方面着力提升监督服务效能。</w:t>
      </w:r>
      <w:r>
        <w:rPr>
          <w:rFonts w:hint="eastAsia" w:ascii="仿宋_GB2312" w:hAnsi="仿宋_GB2312" w:eastAsia="仿宋_GB2312" w:cs="仿宋_GB2312"/>
          <w:b/>
          <w:bCs/>
          <w:kern w:val="21"/>
          <w:sz w:val="32"/>
          <w:szCs w:val="32"/>
        </w:rPr>
        <w:t>一是</w:t>
      </w:r>
      <w:r>
        <w:rPr>
          <w:rFonts w:hint="eastAsia" w:ascii="仿宋_GB2312" w:hAnsi="仿宋_GB2312" w:eastAsia="仿宋_GB2312" w:cs="仿宋_GB2312"/>
          <w:kern w:val="21"/>
          <w:sz w:val="32"/>
          <w:szCs w:val="32"/>
        </w:rPr>
        <w:t>提升信息化水平，推广应用手机App、人脸识别、补贴机具二维码管理和物联网监控等技术，加快推进补贴全流程线上办理。</w:t>
      </w:r>
      <w:r>
        <w:rPr>
          <w:rFonts w:hint="eastAsia" w:ascii="仿宋_GB2312" w:hAnsi="仿宋_GB2312" w:eastAsia="仿宋_GB2312" w:cs="仿宋_GB2312"/>
          <w:b/>
          <w:bCs/>
          <w:kern w:val="21"/>
          <w:sz w:val="32"/>
          <w:szCs w:val="32"/>
        </w:rPr>
        <w:t>二是</w:t>
      </w:r>
      <w:r>
        <w:rPr>
          <w:rFonts w:hint="eastAsia" w:ascii="仿宋_GB2312" w:hAnsi="仿宋_GB2312" w:eastAsia="仿宋_GB2312" w:cs="仿宋_GB2312"/>
          <w:kern w:val="21"/>
          <w:sz w:val="32"/>
          <w:szCs w:val="32"/>
        </w:rPr>
        <w:t>加快补贴资金兑付，保障农民和企业合法权益，营造良好营商环境。优化办理流程，缩短机具核验办理时限。</w:t>
      </w:r>
      <w:r>
        <w:rPr>
          <w:rFonts w:hint="eastAsia" w:ascii="仿宋_GB2312" w:hAnsi="仿宋_GB2312" w:eastAsia="仿宋_GB2312" w:cs="仿宋_GB2312"/>
          <w:b/>
          <w:bCs/>
          <w:kern w:val="21"/>
          <w:sz w:val="32"/>
          <w:szCs w:val="32"/>
        </w:rPr>
        <w:t>三是</w:t>
      </w:r>
      <w:r>
        <w:rPr>
          <w:rFonts w:hint="eastAsia" w:ascii="仿宋_GB2312" w:hAnsi="仿宋_GB2312" w:eastAsia="仿宋_GB2312" w:cs="仿宋_GB2312"/>
          <w:kern w:val="21"/>
          <w:sz w:val="32"/>
          <w:szCs w:val="32"/>
        </w:rPr>
        <w:t>充分发挥专业机构技术优势和大数据信息优势，提升违规行为排查和监控能力。对套取、骗取补贴资金的产销企业依法处理，从严整治违规行为。</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三、补贴对象和补贴标准</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补贴对象为从事农业生产的个人和农业生产经营组织（以下简称“购机者”），其中农业生产经营组织包括农村集体经济组织、农民专业合作经济组织、农业企业和其他从事农业生产经营的组织。</w:t>
      </w:r>
    </w:p>
    <w:p>
      <w:pPr>
        <w:pStyle w:val="7"/>
        <w:spacing w:before="0" w:beforeAutospacing="0" w:after="0" w:afterAutospacing="0" w:line="620" w:lineRule="exact"/>
        <w:jc w:val="both"/>
        <w:textAlignment w:val="baseline"/>
        <w:rPr>
          <w:rFonts w:ascii="仿宋_GB2312" w:hAnsi="仿宋_GB2312" w:eastAsia="仿宋_GB2312" w:cs="仿宋_GB2312"/>
          <w:strike/>
          <w:kern w:val="21"/>
          <w:sz w:val="32"/>
          <w:szCs w:val="32"/>
        </w:rPr>
      </w:pPr>
      <w:r>
        <w:rPr>
          <w:rFonts w:hint="eastAsia" w:ascii="仿宋_GB2312" w:hAnsi="仿宋_GB2312" w:eastAsia="仿宋_GB2312" w:cs="仿宋_GB2312"/>
          <w:kern w:val="21"/>
          <w:sz w:val="32"/>
          <w:szCs w:val="32"/>
        </w:rPr>
        <w:t xml:space="preserve">    中央财政农机购置补贴实行定额补贴。根据农业农村部、财政部组织制定发布的全国补贴范围内各机具品目主要分档参数，结合我省实际进行部分优化调整。补贴额测算比例原则上不超过30%，通用类机具补贴额原则上不超过农业农村部发布的最高补贴额。围绕粮食生产薄弱环节、丘陵山区特色产业生产急需机具以及高端、复式、智能农机产品的推广应用，按年度结合实际选择不超过10个品目的产品提高补贴额，其补贴额测算比例可提高至35%。</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对区域内保有量明显过多、技术相对落后的轮式拖拉机等机具品目或档次降低补贴标准，到2023年将其补贴额测算比例降低至15%及以下，并及时向农业农村部、财政部报告。</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四、资金分配与使用</w:t>
      </w:r>
    </w:p>
    <w:p>
      <w:pPr>
        <w:pStyle w:val="7"/>
        <w:spacing w:before="0" w:beforeAutospacing="0" w:after="0" w:afterAutospacing="0" w:line="620" w:lineRule="exact"/>
        <w:jc w:val="both"/>
        <w:textAlignment w:val="baseline"/>
        <w:rPr>
          <w:rFonts w:ascii="仿宋_GB2312" w:hAnsi="仿宋_GB2312" w:eastAsia="仿宋_GB2312" w:cs="仿宋_GB2312"/>
          <w:spacing w:val="-6"/>
          <w:kern w:val="21"/>
          <w:sz w:val="32"/>
          <w:szCs w:val="32"/>
          <w:highlight w:val="yellow"/>
        </w:rPr>
      </w:pPr>
      <w:r>
        <w:rPr>
          <w:rFonts w:hint="eastAsia" w:ascii="仿宋_GB2312" w:hAnsi="仿宋_GB2312" w:eastAsia="仿宋_GB2312" w:cs="仿宋_GB2312"/>
          <w:kern w:val="21"/>
          <w:sz w:val="32"/>
          <w:szCs w:val="32"/>
        </w:rPr>
        <w:t xml:space="preserve">    农机购置补贴主要用于支持购置先进适用农业机械，以及开展有关试点和农机报废补贴等方面。农业农村厅会同财政厅采用因素法（包括基础性因素、政策性因素、绩效因素、巩固拓展脱贫攻坚成果因素等）结合各县（市、区）农业农村部门申报资金需求进行测算分配资金。农业农村厅会同财政厅加强资金使用情况监测，定期调度资金使用进度，</w:t>
      </w:r>
      <w:r>
        <w:rPr>
          <w:rFonts w:hint="eastAsia" w:ascii="仿宋_GB2312" w:hAnsi="仿宋_GB2312" w:eastAsia="仿宋_GB2312" w:cs="仿宋_GB2312"/>
          <w:spacing w:val="-6"/>
          <w:kern w:val="21"/>
          <w:sz w:val="32"/>
          <w:szCs w:val="32"/>
        </w:rPr>
        <w:t>对资金结余较大的地区和缺口地区进行动态调整。根据全省农机购置补贴资金缺口情况，及时调整部分机具的补贴额，确保政策效益普惠共享。</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在资金使用方面着力探索创新方式。继续组织开展农机购置综合补贴试点，选择部分有条件、有意愿的县（市、区）探索创新补贴资金使用与管理方式，实施作业补贴、贷款贴息、融资租赁承租补助等补贴方式，提升农民购机用机能力。</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五、实施要求</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（一）加强领导，明确分工。</w:t>
      </w:r>
      <w:r>
        <w:rPr>
          <w:rFonts w:hint="eastAsia" w:ascii="仿宋_GB2312" w:hAnsi="仿宋_GB2312" w:eastAsia="仿宋_GB2312" w:cs="仿宋_GB2312"/>
          <w:kern w:val="21"/>
          <w:sz w:val="32"/>
          <w:szCs w:val="32"/>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县级是农机购置补贴政策的实施主体、责任主体和操作主体，要认真落实县级及以下农业农村部门组织实施、审核和监管责任和财政部门资金兑付、资金监管责任。加强绩效管理，形成管理闭环，切实提升政策实施管理工作能力水平。</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省农机化技术推广总站要做好农机购置补贴、综合奖补试点工作的技术支撑和服务指导。省农机监理总站要做好农机报废补贴工作的技术支撑和服务指导。省农业机械研究设计院要做好农机化服务平台的运维工作。省农业机械鉴定站要做好补贴机具投档等技术支撑和服务工作，加快农机专项鉴定大纲制修订，公布鉴定产品种类指南，规范开展鉴定及其采信工作，及时公开鉴定证书、鉴定结果和产品主要技术规格参数信息；加强试验鉴定（认证）证书及其采信的检验检测报告等投档资料规范性抽查，对多次或重复出现问题以及管理水平较低、违规风险较大的检测机构，建议有关主管部门纳入黑名单管理，对其发放的证书（报告）不予采信，并暂停或终止相关机构检测资质，将相关处理措施予以公开通报。</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（二）优化服务，提升效能。</w:t>
      </w:r>
      <w:r>
        <w:rPr>
          <w:rFonts w:hint="eastAsia" w:ascii="仿宋_GB2312" w:hAnsi="仿宋_GB2312" w:eastAsia="仿宋_GB2312" w:cs="仿宋_GB2312"/>
          <w:kern w:val="21"/>
          <w:sz w:val="32"/>
          <w:szCs w:val="32"/>
        </w:rPr>
        <w:t>各地要依托农机购置补贴申请办理服务系统（以下简称“办理服务系统”），动态分析基层农业农村和财政部门办理补贴申请具体时限，及时预警和定期通报超时办理行为，督促相关部门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（三）公开信息，接受监督。</w:t>
      </w:r>
      <w:r>
        <w:rPr>
          <w:rFonts w:hint="eastAsia" w:ascii="仿宋_GB2312" w:hAnsi="仿宋_GB2312" w:eastAsia="仿宋_GB2312" w:cs="仿宋_GB2312"/>
          <w:kern w:val="21"/>
          <w:sz w:val="32"/>
          <w:szCs w:val="32"/>
        </w:rPr>
        <w:t>各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按年度公告近三年县域内补贴受益信息，公开违规查处结果等信息，主动接受社会监督。</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（四）加强监管，严惩违规。</w:t>
      </w:r>
      <w:r>
        <w:rPr>
          <w:rFonts w:hint="eastAsia" w:ascii="仿宋_GB2312" w:hAnsi="仿宋_GB2312" w:eastAsia="仿宋_GB2312" w:cs="仿宋_GB2312"/>
          <w:kern w:val="21"/>
          <w:sz w:val="32"/>
          <w:szCs w:val="32"/>
        </w:rPr>
        <w:t>各地要全面贯彻《农业农村部办公厅 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投档突出违规行为，有效维护政策实施良好秩序。产销企业和购机者要认真履行承诺践诺，主动书面报告农机购置补贴异常情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级农业农村、财政部门要根据本实施指导意见，结合实际制定印发2021—2023年实施方案，并对外公开。每年12月10日前，各市（州）农业农村、财政部门要将全年中央财政农机购置补贴政策实施（含试点工作开展情况）总结报告报送农业农村厅、财政厅。</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四川省2021—2023年农机购置补贴实施操作要求、补贴机具种类范围、机械化作业奖补试点操作要求、贷款贴息试点操作要求、农机专项鉴定产品购置补贴实施工作规范（试行）详见附件1-5。</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spacing w:val="-6"/>
          <w:kern w:val="21"/>
          <w:sz w:val="32"/>
          <w:szCs w:val="32"/>
        </w:rPr>
      </w:pPr>
      <w:r>
        <w:rPr>
          <w:rFonts w:hint="eastAsia" w:ascii="仿宋_GB2312" w:hAnsi="仿宋_GB2312" w:eastAsia="仿宋_GB2312" w:cs="仿宋_GB2312"/>
          <w:kern w:val="21"/>
          <w:sz w:val="32"/>
          <w:szCs w:val="32"/>
        </w:rPr>
        <w:t xml:space="preserve">    附件：1.</w:t>
      </w:r>
      <w:r>
        <w:rPr>
          <w:rFonts w:hint="eastAsia" w:ascii="仿宋_GB2312" w:hAnsi="仿宋_GB2312" w:eastAsia="仿宋_GB2312" w:cs="仿宋_GB2312"/>
          <w:spacing w:val="-6"/>
          <w:kern w:val="21"/>
          <w:sz w:val="32"/>
          <w:szCs w:val="32"/>
        </w:rPr>
        <w:t>四川省2021—2023年农机购置补贴实施操作要求</w:t>
      </w:r>
    </w:p>
    <w:p>
      <w:pPr>
        <w:pStyle w:val="7"/>
        <w:spacing w:before="0" w:beforeAutospacing="0" w:after="0" w:afterAutospacing="0" w:line="620" w:lineRule="exact"/>
        <w:jc w:val="both"/>
        <w:textAlignment w:val="baseline"/>
        <w:rPr>
          <w:rFonts w:ascii="仿宋_GB2312" w:hAnsi="仿宋_GB2312" w:eastAsia="仿宋_GB2312" w:cs="仿宋_GB2312"/>
          <w:spacing w:val="-6"/>
          <w:kern w:val="21"/>
          <w:sz w:val="32"/>
          <w:szCs w:val="32"/>
        </w:rPr>
      </w:pPr>
      <w:r>
        <w:rPr>
          <w:rFonts w:hint="eastAsia" w:ascii="仿宋_GB2312" w:hAnsi="仿宋_GB2312" w:eastAsia="仿宋_GB2312" w:cs="仿宋_GB2312"/>
          <w:kern w:val="21"/>
          <w:sz w:val="32"/>
          <w:szCs w:val="32"/>
        </w:rPr>
        <w:t xml:space="preserve">          2.</w:t>
      </w:r>
      <w:r>
        <w:rPr>
          <w:rFonts w:hint="eastAsia" w:ascii="仿宋_GB2312" w:hAnsi="仿宋_GB2312" w:eastAsia="仿宋_GB2312" w:cs="仿宋_GB2312"/>
          <w:spacing w:val="-6"/>
          <w:kern w:val="21"/>
          <w:sz w:val="32"/>
          <w:szCs w:val="32"/>
        </w:rPr>
        <w:t>四川省2021—2023年农机购置补贴机具种类范围</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3.四川省机械化作业奖补试点操作要求</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4.四川省购机贷款贴息试点操作要求</w:t>
      </w:r>
    </w:p>
    <w:p>
      <w:pPr>
        <w:pStyle w:val="7"/>
        <w:spacing w:before="0" w:beforeAutospacing="0" w:after="0" w:afterAutospacing="0" w:line="620" w:lineRule="exact"/>
        <w:jc w:val="distribute"/>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5.四川省农机专项鉴定产品购置补贴实施工作规</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范（试行）</w:t>
      </w:r>
    </w:p>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附件1</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四川省2021—2023年农机购置补贴</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实施操作要求</w:t>
      </w:r>
    </w:p>
    <w:p>
      <w:pPr>
        <w:spacing w:line="620" w:lineRule="exact"/>
        <w:textAlignment w:val="baseline"/>
        <w:rPr>
          <w:rFonts w:ascii="仿宋_GB2312" w:hAnsi="仿宋_GB2312" w:eastAsia="仿宋_GB2312" w:cs="仿宋_GB2312"/>
          <w:kern w:val="21"/>
          <w:sz w:val="32"/>
          <w:szCs w:val="32"/>
        </w:rPr>
      </w:pPr>
    </w:p>
    <w:p>
      <w:pPr>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一、补贴范围和补贴机具</w:t>
      </w:r>
    </w:p>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根据中央财政资金全国农机购置补贴机具种类范围，结合农业生产需要和资金供需实际，四川省农机购置补贴机具种类范围为15大类39个小类133个品目。各地应在省级补贴机具种类基础上，因地制宜合理确定本地补贴机具品目，优先保障粮食、生猪等重要农畜产品生产、丘陵山区特色农业生产以及支持农业绿色发展和数字化发展所需机具的补贴需要，可结合资金规模，将与农业产业不匹配、区域内保有量明显过多、技术相对落后的机具品目或档次剔除出补贴范围。全省补贴范围可针对各地提出的增补建议进行调整，具体工作按年度进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大力支持农机创新产品列入补贴范围。全面贯彻落实新修订的《农业机械试验鉴定办法》，积极开展农机专项鉴定，加快农机创新产品获得农机试验鉴定证书步伐，并按规定列入补贴范围。继续开展标准化猪舍钢结构、禽类养殖成套设备购置补贴试点工作。对尚不能通过农机专项鉴定取得补贴资质的创新产品和成套设施装备等给予支持，将建设标准成熟的烘干机配套设施、水稻育秧成套设施装备、温室大棚骨架和智能养殖（含渔业）设备、果菜茶初加工成套设备、蜜蜂养殖及蜂产品初加工成套设施装备等纳入农机购置补贴新产品试点范围，经农业农村部、财政部备案后实施。农机专项鉴定产品和农机新产品购置补贴试点产品列入补贴可以突破全国补贴范围。全面开展植保无人驾驶航空器购置补贴工作，具体操作办法另行通知。</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进一步扩大中央财政农机购置补贴机具资质采信农机产品认证结果范围，新增品目由农业农村部、国家认证认可监督管理委员会另行通知，采信认证结果工作继续按有关规定执行。规范实施补贴机具资质直接采信第三方检测报告试点，强化第三方检验检测结果和采信过程管理，相关农机产品应当开展基层评价，并通过省级农机鉴定、推广、科研单位组织开展的田（场）间实地试验验证。</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地方特色农业发展所需和小区域适用性强的机具，可列入地方各级财政安排资金的补贴范围，具体补贴机具品目和补贴标准由地方自定，不得占用中央财政补贴资金。</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二、补贴对象和补贴标准</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补贴对象为从事农业生产的个人和农业生产经营组织，其中农业生产经营组织包括农村集体经济组织、农民专业合作经济组织、农业企业和其他从事农业生产经营的组织。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中央财政农机购置补贴实行定额补贴。我省按照农业农村部、财政部的要求，开展分类分档，依据同档产品上年市场销售均价测算确定各档次的补贴额上限，测算比例不超过30%，且通用类机具补贴额原则上不超过农业农村部、财政部发布的最高补贴额。实行降低补贴标准的机具品目单独分档测算补贴额。在确保资金供需紧平衡的基础上，我省围绕粮食生产薄弱环节、丘陵山区特色产业生产急需机具以及高端、复式、智能农机产品的推广应用，按年度结合实际选择不超过10个品目的产品提高补贴额，其补贴额测算比例可提高至35%，其中，通用类机具的补贴额可高于相应档次中央财政资金最高补贴额，增长幅度控制在20%以内。提高补贴额测算比例的机具品目或档次报农业农村部备案后实施。</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对区域内保有量明显过多、技术相对落后的轮式拖拉机等机具品目或档次降低补贴标准，到2023年将其补贴额测算比例降低至15%及以下，并及时向农业农村部报告。</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上年市场销售均价原则上通过办理服务系统补贴数据测算，其中，新增品目或上年补贴销售数据较少的品目，其相关档次市场销售均价可通过市场调查获取，也可直接采信其他省份市场销售均价的最低值。</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要全面公开农机购置补贴机具补贴额一览表，加强宣传，引导购机者根据各档次的补贴定额自主议价，不再对外公布具体产品的补贴额。在政策实施过程中，发现具体产品或档次的中央财政资金实际补贴比例超过50%的，县级农业农村部门应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农业农村厅视情况及时调整。当补贴资金出现较多缺口，农业农村厅将依据有关规定下调部分机具的补贴额。</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各地应结合实际，设置购机者年度内享受补贴资金总额或购置农机具的台（套）数上限。</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三、资金分配与使用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支出主要用于支持购置先进适用农业机械，以及开展有关试点和农机报废补贴等方面。农业农村厅会同财政厅采用因素法（包括基础性因素和政策性因素、绩效因素、巩固拓展脱贫攻坚成果因素等）测算分配资金，不突破县级需求上限分配资金。对资金结转量大、政策实施风险高、资金使用效益低的地区，调减其预算规模。各市（州）农业农村部门会同财政部门加强资金使用情况监测，定期调度和发布各县（市、区）资金使用进度，督促县（市、区）优先使用结转资金，督促预算执行较慢地区加快使用。农业农村厅会同财政厅根据我省实际情况开展县（市、区）际余缺调剂，将补贴资金调增给已出现供需缺口的县（市、区），确保不发生资金大量结转，促进资金使用实现两年动态紧平衡。</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继续开展农机购置综合补贴试点，选择部分有条件、有意愿的县（市、区）探索创新补贴资金使用与管理方式，实施作业补贴、贷款贴息、融资租赁承租补助等补贴方式。</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农机报废更新补贴按《四川省农业农村厅 四川省财政厅 四川省商务厅关于印发〈四川省农业机械报废更新补贴实施方案〉的通知》（川农函〔2020〕640号）执行。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农机购置补贴属于约束性任务，资金必须足额保障，不得用于其他任务支出。各级财政部门要保障补贴工作实施必要的组织管理经费。</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四、操作流程</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政策按照“自主购机、定额补贴、先购后补、县（乡）结算、直补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当地农业农村部门提出补贴资金申领事项，签署告知承诺书，承诺购买行为、发票购机价格等信息真实有效，按相关规定申办补贴。</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各地农机购置补贴政策实施工作按以下流程操作。</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（一）发布实施规定。</w:t>
      </w:r>
      <w:r>
        <w:rPr>
          <w:rFonts w:hint="eastAsia" w:ascii="仿宋_GB2312" w:hAnsi="仿宋_GB2312" w:eastAsia="仿宋_GB2312" w:cs="仿宋_GB2312"/>
          <w:kern w:val="21"/>
          <w:sz w:val="32"/>
          <w:szCs w:val="32"/>
        </w:rPr>
        <w:t>各级农业农村、财政部门按职责分工和有关规定发布本地区农机购置补贴指导意见或实施方案、操作程序、补贴额一览表、补贴机具信息表、咨询投诉举报电话等信息。按年度明确剔除出补贴范围和实行降标的机具品目或档次。</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（二）组织机具投档。</w:t>
      </w:r>
      <w:r>
        <w:rPr>
          <w:rFonts w:hint="eastAsia" w:ascii="仿宋_GB2312" w:hAnsi="仿宋_GB2312" w:eastAsia="仿宋_GB2312" w:cs="仿宋_GB2312"/>
          <w:kern w:val="21"/>
          <w:sz w:val="32"/>
          <w:szCs w:val="32"/>
        </w:rPr>
        <w:t>省农业机械鉴定站按照《农机购置补贴机具投档工作规范（试行）》等要求，全面运用农机购置补贴机具自主投档平台，常年受理企业投档，组织开展形式审核，公示公布投档结果，并导入办理服务系统。</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（三）受理补贴申请。</w:t>
      </w:r>
      <w:r>
        <w:rPr>
          <w:rFonts w:hint="eastAsia" w:ascii="仿宋_GB2312" w:hAnsi="仿宋_GB2312" w:eastAsia="仿宋_GB2312" w:cs="仿宋_GB2312"/>
          <w:kern w:val="21"/>
          <w:sz w:val="32"/>
          <w:szCs w:val="32"/>
        </w:rPr>
        <w:t>县级农业农村部门要全面实行办理服务系统常年连续开放，推广使用带有人脸识别功能的手机App等信息化技术，方便购机者随时在线提交补贴申请、应录尽录，加快实现购机者线下申领补贴“最多跑一次”、“最多跑一地”，鼓励有条件的地区努力推进全流程线上办理，实现购机者申领补贴“不跑路”。轮式拖拉机、履带式拖拉机、自走轮式谷物联合收割机、自走履带式谷物联合收割机（全喂入）、半喂入联合收割机、油菜籽收获机等6种机具品目鼓励通过农机化服务平台申请补贴。县（市、区）农机购置补贴资金申请数量达到当年可用资金（含结转资金和调剂资金）总量110%的，相关县应及时发布公告，停止受理补贴申请。实行牌证管理的机具，要先行办理牌证照。</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（四）审验公示信息。</w:t>
      </w:r>
      <w:r>
        <w:rPr>
          <w:rFonts w:hint="eastAsia" w:ascii="仿宋_GB2312" w:hAnsi="仿宋_GB2312" w:eastAsia="仿宋_GB2312" w:cs="仿宋_GB2312"/>
          <w:kern w:val="21"/>
          <w:sz w:val="32"/>
          <w:szCs w:val="32"/>
        </w:rPr>
        <w:t>县（市、区）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（五）兑付补贴资金。</w:t>
      </w:r>
      <w:r>
        <w:rPr>
          <w:rFonts w:hint="eastAsia" w:ascii="仿宋_GB2312" w:hAnsi="仿宋_GB2312" w:eastAsia="仿宋_GB2312" w:cs="仿宋_GB2312"/>
          <w:kern w:val="21"/>
          <w:sz w:val="32"/>
          <w:szCs w:val="32"/>
        </w:rPr>
        <w:t>县（市、区）农业农村部门提交资金兑付申请与有关材料，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及时与同级农业农村部门联合向上级报告资金供需情况。补贴申领原则上当年有效，因当年财政补贴资金规模不够、办理手续时间紧张等无法享受补贴的，可在下一个年度优先兑付。</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附件2</w:t>
      </w:r>
    </w:p>
    <w:p>
      <w:pPr>
        <w:spacing w:line="620" w:lineRule="exact"/>
        <w:jc w:val="center"/>
        <w:textAlignment w:val="baseline"/>
        <w:rPr>
          <w:rFonts w:ascii="方正小标宋简体" w:hAnsi="方正小标宋简体" w:eastAsia="方正小标宋简体" w:cs="方正小标宋简体"/>
          <w:kern w:val="21"/>
          <w:sz w:val="44"/>
          <w:szCs w:val="44"/>
        </w:rPr>
      </w:pPr>
      <w:bookmarkStart w:id="0" w:name="_Toc26437937"/>
      <w:bookmarkStart w:id="1" w:name="_Toc26450801"/>
      <w:bookmarkStart w:id="2" w:name="_Toc26438089"/>
      <w:r>
        <w:rPr>
          <w:rFonts w:hint="eastAsia" w:ascii="方正小标宋简体" w:hAnsi="方正小标宋简体" w:eastAsia="方正小标宋简体" w:cs="方正小标宋简体"/>
          <w:kern w:val="21"/>
          <w:sz w:val="44"/>
          <w:szCs w:val="44"/>
        </w:rPr>
        <w:t>四川省2021—2023年农机购置补贴</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机具种类范围</w:t>
      </w:r>
      <w:bookmarkEnd w:id="0"/>
      <w:bookmarkEnd w:id="1"/>
      <w:bookmarkEnd w:id="2"/>
    </w:p>
    <w:p>
      <w:pPr>
        <w:pStyle w:val="4"/>
        <w:spacing w:beforeLines="0" w:afterLines="0" w:line="620" w:lineRule="exact"/>
        <w:textAlignment w:val="baseline"/>
        <w:rPr>
          <w:rFonts w:ascii="楷体_GB2312" w:hAnsi="楷体_GB2312" w:eastAsia="楷体_GB2312" w:cs="楷体_GB2312"/>
          <w:kern w:val="21"/>
          <w:sz w:val="32"/>
          <w:szCs w:val="32"/>
        </w:rPr>
      </w:pPr>
      <w:bookmarkStart w:id="3" w:name="_Toc26437938"/>
      <w:r>
        <w:rPr>
          <w:rFonts w:hint="eastAsia" w:ascii="楷体_GB2312" w:hAnsi="楷体_GB2312" w:eastAsia="楷体_GB2312" w:cs="楷体_GB2312"/>
          <w:kern w:val="21"/>
          <w:sz w:val="32"/>
          <w:szCs w:val="32"/>
        </w:rPr>
        <w:t>（15大类39个小类133个品目）</w:t>
      </w:r>
      <w:bookmarkEnd w:id="3"/>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1.耕整地机械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1.1耕地机械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1.1.1铧式犁</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1.1.2旋耕机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1.1.3深松机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1.1.4开沟机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1.1.5耕整机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1.1.6微耕机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1.1.7机耕船</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1.2整地机械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1.2.1圆盘耙</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1.2.2起垄机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1.2.3筑埂机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1.2.4铺膜机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1.2.5联合整地机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1.2.6埋茬起浆机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2.种植施肥机械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2.1播种机械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2.1.1条播机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2.1.2穴播机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2.1.3小粒种子播种机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2.1.4根茎作物播种机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2.1.5免耕播种机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2.1.6水稻直播机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2.1.7精量播种机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2.1.8整地施肥播种机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2.2育苗机械设备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2.2.1种子播前处理设备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2.2.2秧盘播种成套设备（含床土处理）</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2.3栽植机械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2.3.1水稻插秧机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2.3.2秧苗移栽机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2.4施肥机械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2.4.1施肥机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2.4.2撒肥机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2.4.3追肥机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3.田间管理机械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3.1中耕机械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3.1.1中耕机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3.1.2培土机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3.1.3田园管理机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3.2植保机械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3.2.1动力喷雾机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3.2.2喷杆喷雾机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3.2.3风送喷雾机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3.2.4植保无人驾驶航空器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3.3修剪机械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3.3.1茶树修剪机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3.3.2果树修剪机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4.1谷物收获机械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4.1.1割晒机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4.1.2自走轮式谷物联合收割机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4.1.3自走履带式谷物联合收割机（全喂入）</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4.1.4半喂入联合收割机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4.2玉米收获机械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4.2.1自走式玉米收获机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4.2.2自走式玉米籽粒联合收获机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4.2.3穗茎兼收玉米收获机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4.2.4玉米收获专用割台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4.3果实收获机械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4.3.1辣椒收获机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4.4花卉（茶叶）采收机械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4.4.1采茶机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4.5籽粒作物收获机械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4.5.1油菜籽收获机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4.6根茎作物收获机械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4.6.1薯类收获机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4.6.2花生收获机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4.7饲料作物收获机械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4.7.1割草机（含果园无人割草机）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4.7.2搂草机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4.7.3打（压）捆机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4.7.4圆草捆包膜机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4.7.5青饲料收获机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4.8茎秆收集处理机械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4.8.1秸秆粉碎还田机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4.8.2高秆作物割晒机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5.收获后处理机械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5.1脱粒机械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5.1.1稻麦脱粒机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5.1.2玉米脱粒机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5.1.3花生摘果机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5.2干燥机械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5.2.1谷物烘干机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5.2.2果蔬烘干机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5.2.3油菜籽烘干机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5.3种子加工机械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5.3.1种子清选机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6.农产品初加工机械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6.1碾米机械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6.1.1碾米机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6.1.2组合米机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6.2磨粉（浆）机械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6.2.1磨粉机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6.2.2磨浆机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6.3果蔬加工机械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6.3.1水果分级机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6.3.2水果清洗机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6.3.3水果打蜡机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6.3.4蔬菜清洗机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6.4茶叶加工机械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6.4.1茶叶杀青机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6.4.2茶叶揉捻机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6.4.3茶叶炒（烘）干机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6.4.4茶叶筛选机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6.4.5茶叶理条机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6.5剥壳（去皮）机械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6.5.1干坚果脱壳机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6.5.2剥（刮）麻机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7.农用搬运机械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7.1装卸机械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7.1.1抓草机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8.排灌机械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8.1水泵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8.1.1离心泵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8.1.2潜水电泵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8.2喷灌机械设备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8.2.1喷灌机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8.2.2微灌设备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8.2.3灌溉首部（含灌溉水增压设备、过滤设备、水质软化设备、灌溉施肥一体化设备以及营养液消毒设备等）</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9.畜牧机械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9.1饲料（草）加工机械设备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9.1.1铡草机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9.1.2青贮切碎机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9.1.3揉丝机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9.1.4压块机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9.1.5饲料（草）粉碎机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9.1.6饲料混合机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9.1.7颗粒饲料压制机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9.1.8饲料制备（搅拌）机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9.2饲养机械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9.2.1孵化机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9.2.2喂料机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9.2.3送料机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9.2.4清粪机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9.2.5粪污固液分离机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9.3畜产品采集加工机械设备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9.3.1挤奶机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9.3.2贮奶（冷藏）罐</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10.水产机械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10.1水产养殖机械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10.1.1增氧机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10.1.2投饲机（含投饲无人船）</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11.农业废弃物利用处理设备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11.1废弃物处理设备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11.1.1残膜回收机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11.1.2沼液沼渣抽排设备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11.1.3病死畜禽无害化处理设备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11.1.4有机废弃物好氧发酵翻堆机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11.1.5有机废弃物干式厌氧发酵装置</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12.农田基本建设机械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12.1平地机械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12.1.1平地机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13.设施农业设备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13.1温室大棚设备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13.1.1电动卷帘机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13.1.2热风炉</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13.2食用菌生产设备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13.2.1食用菌料装瓶（袋）机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14.动力机械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14.1.1轮式拖拉机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14.1.2手扶拖拉机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14.1.3履带式拖拉机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15.其他机械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15.1养蜂设备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15.1.1养蜂平台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15.2其他机械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15.2.1水帘降温设备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15.2.2热水加温系统</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15.2.3简易保鲜储藏设备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15.2.4旋耕播种机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15.2.5大米色选机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15.2.6杂粮色选机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15.2.7秸秆膨化机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15.2.8畜禽粪便发酵处理机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15.2.9农业用北斗终端及辅助驾驶系统（含渔船用）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15.2.10沼气发电机组</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15.2.11有机肥加工设备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15.2.12茶叶输送机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15.2.13茶叶压扁机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15.2.14茶叶色选机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15.2.15根（块）茎作物收获机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15.2.16果园轨道运输机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15.2.17秸秆收集机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15.2.18水产养殖水质监控设备</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textAlignment w:val="auto"/>
        <w:rPr>
          <w:rFonts w:hint="eastAsia" w:ascii="仿宋_GB2312" w:hAnsi="仿宋_GB2312" w:eastAsia="仿宋_GB2312" w:cs="仿宋_GB2312"/>
          <w:b w:val="0"/>
          <w:bCs w:val="0"/>
          <w:sz w:val="32"/>
          <w:szCs w:val="32"/>
          <w:lang w:val="en-US" w:eastAsia="zh-CN"/>
        </w:rPr>
      </w:pPr>
      <w:bookmarkStart w:id="4" w:name="_GoBack"/>
      <w:bookmarkEnd w:id="4"/>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91129"/>
    <w:rsid w:val="0DBB278E"/>
    <w:rsid w:val="176B5AF2"/>
    <w:rsid w:val="17707000"/>
    <w:rsid w:val="1CE223F8"/>
    <w:rsid w:val="2FEF29F9"/>
    <w:rsid w:val="396942A3"/>
    <w:rsid w:val="4BFA27DF"/>
    <w:rsid w:val="4E291129"/>
    <w:rsid w:val="4F324F34"/>
    <w:rsid w:val="5C6169CD"/>
    <w:rsid w:val="5F9FD7DE"/>
    <w:rsid w:val="5FD7DDC1"/>
    <w:rsid w:val="5FFE6F5E"/>
    <w:rsid w:val="62032883"/>
    <w:rsid w:val="6CFBD233"/>
    <w:rsid w:val="6FE647DE"/>
    <w:rsid w:val="6FFDE2A8"/>
    <w:rsid w:val="7D9DC538"/>
    <w:rsid w:val="7DF9C7F2"/>
    <w:rsid w:val="7FD7F79D"/>
    <w:rsid w:val="AF71F6D6"/>
    <w:rsid w:val="BFE7A7FF"/>
    <w:rsid w:val="C5DBFE9F"/>
    <w:rsid w:val="EF754DD0"/>
    <w:rsid w:val="F17CDF4E"/>
    <w:rsid w:val="F5996821"/>
    <w:rsid w:val="FA8F3795"/>
    <w:rsid w:val="FD6F3766"/>
    <w:rsid w:val="FE27FA8B"/>
    <w:rsid w:val="FF6F7CC0"/>
    <w:rsid w:val="FFFA1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spacing w:beforeLines="100" w:afterLines="100"/>
      <w:jc w:val="center"/>
      <w:outlineLvl w:val="1"/>
    </w:pPr>
    <w:rPr>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2018-04-28T14:48:00Z</dcterms:created>
  <dc:creator>Administrator</dc:creator>
  <cp:lastModifiedBy>user</cp:lastModifiedBy>
  <cp:lastPrinted>2021-08-13T03:41:00Z</cp:lastPrinted>
  <dcterms:modified xsi:type="dcterms:W3CDTF">2021-10-11T15:57:25Z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