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四川省2021-2023年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Style w:val="4"/>
        <w:tblW w:w="10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6D36"/>
    <w:rsid w:val="0027153A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4A20DE2"/>
    <w:rsid w:val="2DBE00DB"/>
    <w:rsid w:val="36E6214A"/>
    <w:rsid w:val="4270079D"/>
    <w:rsid w:val="476B018A"/>
    <w:rsid w:val="47BC126B"/>
    <w:rsid w:val="52D06D36"/>
    <w:rsid w:val="58380616"/>
    <w:rsid w:val="5B226EA8"/>
    <w:rsid w:val="5C450A0C"/>
    <w:rsid w:val="6D3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2420</Words>
  <Characters>13794</Characters>
  <Lines>114</Lines>
  <Paragraphs>32</Paragraphs>
  <TotalTime>2</TotalTime>
  <ScaleCrop>false</ScaleCrop>
  <LinksUpToDate>false</LinksUpToDate>
  <CharactersWithSpaces>16182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2021-08-03T02:15:00Z</dcterms:created>
  <dc:creator>user</dc:creator>
  <cp:lastModifiedBy>艳阳天</cp:lastModifiedBy>
  <dcterms:modified xsi:type="dcterms:W3CDTF">2021-10-09T06:03:41Z</dcterms:modified>
  <dc:title>川农业发[2003]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7EA5A8A02F884C65AB3393D157DD3C21</vt:lpwstr>
  </property>
</Properties>
</file>