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98" w:rsidRDefault="003162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东坡区</w:t>
      </w:r>
      <w:r w:rsidR="00B474B8">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21</w:t>
      </w:r>
      <w:r w:rsidR="00B474B8">
        <w:rPr>
          <w:rFonts w:ascii="方正小标宋简体" w:eastAsia="方正小标宋简体" w:hAnsi="方正小标宋简体" w:cs="方正小标宋简体" w:hint="eastAsia"/>
          <w:sz w:val="44"/>
          <w:szCs w:val="44"/>
        </w:rPr>
        <w:t>年农机购置补贴机具核验制度</w:t>
      </w:r>
    </w:p>
    <w:p w:rsidR="00A77AFD" w:rsidRDefault="00B474B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A77AFD" w:rsidRDefault="00A77AFD">
      <w:pPr>
        <w:jc w:val="center"/>
        <w:rPr>
          <w:rFonts w:ascii="方正小标宋简体" w:eastAsia="方正小标宋简体" w:hAnsi="方正小标宋简体" w:cs="方正小标宋简体"/>
          <w:szCs w:val="32"/>
        </w:rPr>
      </w:pP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w:t>
      </w:r>
      <w:r w:rsidR="00316298">
        <w:rPr>
          <w:rFonts w:ascii="仿宋_GB2312" w:hAnsi="仿宋_GB2312" w:cs="仿宋_GB2312" w:hint="eastAsia"/>
          <w:szCs w:val="32"/>
        </w:rPr>
        <w:t>四川</w:t>
      </w:r>
      <w:r>
        <w:rPr>
          <w:rFonts w:ascii="仿宋_GB2312" w:hAnsi="仿宋_GB2312" w:cs="仿宋_GB2312" w:hint="eastAsia"/>
          <w:szCs w:val="32"/>
        </w:rPr>
        <w:t>省农业机械化管理局关于印发《</w:t>
      </w:r>
      <w:r w:rsidR="00316298">
        <w:rPr>
          <w:rFonts w:ascii="仿宋_GB2312" w:hAnsi="仿宋_GB2312" w:cs="仿宋_GB2312" w:hint="eastAsia"/>
          <w:szCs w:val="32"/>
        </w:rPr>
        <w:t>四川</w:t>
      </w:r>
      <w:r>
        <w:rPr>
          <w:rFonts w:ascii="仿宋_GB2312" w:hAnsi="仿宋_GB2312" w:cs="仿宋_GB2312" w:hint="eastAsia"/>
          <w:szCs w:val="32"/>
        </w:rPr>
        <w:t>省农机购置补贴产品核验工作流程（试行）》的通知精神，经我县农机补贴领导小组审核同意，制定20</w:t>
      </w:r>
      <w:r w:rsidR="00316298">
        <w:rPr>
          <w:rFonts w:ascii="仿宋_GB2312" w:hAnsi="仿宋_GB2312" w:cs="仿宋_GB2312" w:hint="eastAsia"/>
          <w:szCs w:val="32"/>
        </w:rPr>
        <w:t>21</w:t>
      </w:r>
      <w:r>
        <w:rPr>
          <w:rFonts w:ascii="仿宋_GB2312" w:hAnsi="仿宋_GB2312" w:cs="仿宋_GB2312" w:hint="eastAsia"/>
          <w:szCs w:val="32"/>
        </w:rPr>
        <w:t>年农机购置补贴机具核验工作要点如下。</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一、核验内容</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补贴机具核验是指</w:t>
      </w:r>
      <w:r w:rsidR="00316298">
        <w:rPr>
          <w:rFonts w:ascii="仿宋_GB2312" w:hAnsi="仿宋_GB2312" w:cs="仿宋_GB2312" w:hint="eastAsia"/>
          <w:szCs w:val="32"/>
        </w:rPr>
        <w:t>东坡区</w:t>
      </w:r>
      <w:r>
        <w:rPr>
          <w:rFonts w:ascii="仿宋_GB2312" w:hAnsi="仿宋_GB2312" w:cs="仿宋_GB2312" w:hint="eastAsia"/>
          <w:szCs w:val="32"/>
        </w:rPr>
        <w:t>农业农村局对</w:t>
      </w:r>
      <w:r w:rsidR="00725471" w:rsidRPr="003548BE">
        <w:rPr>
          <w:rFonts w:hint="eastAsia"/>
          <w:szCs w:val="32"/>
        </w:rPr>
        <w:t>东坡区境内从事农业生产的个人，以及在东坡区境内从事农业生产的经营组织</w:t>
      </w:r>
      <w:r>
        <w:rPr>
          <w:rFonts w:ascii="仿宋_GB2312" w:hAnsi="仿宋_GB2312" w:cs="仿宋_GB2312" w:hint="eastAsia"/>
          <w:szCs w:val="32"/>
        </w:rPr>
        <w:t>（以下简称“购机者”）申报农机购置补贴时提供的相关资料进行形式审核、对机具进行核查的工作。核验的主要内容包括：</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（三）机具信息。机具实物上的固定铭牌信息、农机购置补贴辅助管理系统所对应机具的信息、牌证管理机具的行驶证信息等；</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（四）其他信息。购机者银行卡（折）账号、开户名等信息，</w:t>
      </w:r>
      <w:r>
        <w:rPr>
          <w:rFonts w:ascii="仿宋_GB2312" w:hAnsi="仿宋_GB2312" w:cs="仿宋_GB2312" w:hint="eastAsia"/>
          <w:szCs w:val="32"/>
        </w:rPr>
        <w:lastRenderedPageBreak/>
        <w:t>以及政策实施要求提供的其他必要信息。</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 xml:space="preserve">上述信息的真实性、完整性和有效性由购机者、产销企业和农机安全监理机构分别负责，并承担相应的法律责任。   </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二、核验程序及要求</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（一）受理申请。对购机者通过手机APP自主提出的补贴申请，农业农村局应在申请提出</w:t>
      </w:r>
      <w:r w:rsidR="00725471">
        <w:rPr>
          <w:rFonts w:ascii="仿宋_GB2312" w:hAnsi="仿宋_GB2312" w:cs="仿宋_GB2312" w:hint="eastAsia"/>
          <w:szCs w:val="32"/>
        </w:rPr>
        <w:t>两个工作日内</w:t>
      </w:r>
      <w:r>
        <w:rPr>
          <w:rFonts w:ascii="仿宋_GB2312" w:hAnsi="仿宋_GB2312" w:cs="仿宋_GB2312" w:hint="eastAsia"/>
          <w:szCs w:val="32"/>
        </w:rPr>
        <w:t>受理并完成初审。</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szCs w:val="32"/>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未通过核验的，应将所发现的问题一次性告知购机者，并说明完善方法。</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未通过核验的，应将所发现的问题一次性告知购机者，并说明完善方法。</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（四）复核登记。对资料核验、机具核验的程序、方式和签章的规范性进行集体复核，可与集体会商同步进行，通过后登记立册。</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（五）公示报送。对通过复核的补贴申请信息进行为期不少于</w:t>
      </w:r>
      <w:r w:rsidR="00725471">
        <w:rPr>
          <w:rFonts w:ascii="仿宋_GB2312" w:hAnsi="仿宋_GB2312" w:cs="仿宋_GB2312" w:hint="eastAsia"/>
          <w:szCs w:val="32"/>
        </w:rPr>
        <w:t>5个工作日</w:t>
      </w:r>
      <w:r>
        <w:rPr>
          <w:rFonts w:ascii="仿宋_GB2312" w:hAnsi="仿宋_GB2312" w:cs="仿宋_GB2312" w:hint="eastAsia"/>
          <w:szCs w:val="32"/>
        </w:rPr>
        <w:t>的公示，公示无异议后报送县财政部门。</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（六）资料处理。对财政部门未提出疑义的补贴申请，将其核验资料留存备用备查，留存期限不少于5年。</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三、监督管理</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A77AFD" w:rsidRDefault="00B474B8" w:rsidP="00316298">
      <w:pPr>
        <w:ind w:firstLineChars="200" w:firstLine="644"/>
        <w:rPr>
          <w:rFonts w:ascii="仿宋_GB2312" w:hAnsi="仿宋_GB2312" w:cs="仿宋_GB2312"/>
          <w:szCs w:val="32"/>
        </w:rPr>
      </w:pPr>
      <w:r>
        <w:rPr>
          <w:rFonts w:ascii="仿宋_GB2312" w:hAnsi="仿宋_GB2312" w:cs="仿宋_GB2312" w:hint="eastAsia"/>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A77AFD" w:rsidRDefault="00B474B8" w:rsidP="00316298">
      <w:pPr>
        <w:ind w:firstLineChars="200" w:firstLine="644"/>
        <w:rPr>
          <w:rFonts w:ascii="仿宋_GB2312" w:hAnsi="仿宋_GB2312" w:cs="仿宋_GB2312" w:hint="eastAsia"/>
          <w:szCs w:val="32"/>
        </w:rPr>
      </w:pPr>
      <w:r>
        <w:rPr>
          <w:rFonts w:ascii="仿宋_GB2312" w:hAnsi="仿宋_GB2312" w:cs="仿宋_GB2312" w:hint="eastAsia"/>
          <w:szCs w:val="32"/>
        </w:rPr>
        <w:t xml:space="preserve">（四）严格监督管理。健全内部控制制度，以机具核验流程为主线，逐项工作、逐个环节查找风险点，制定防控措施。   </w:t>
      </w:r>
    </w:p>
    <w:p w:rsidR="00771E8E" w:rsidRDefault="00771E8E" w:rsidP="00316298">
      <w:pPr>
        <w:ind w:firstLineChars="200" w:firstLine="644"/>
        <w:rPr>
          <w:rFonts w:ascii="仿宋_GB2312" w:hAnsi="仿宋_GB2312" w:cs="仿宋_GB2312"/>
          <w:szCs w:val="32"/>
        </w:rPr>
      </w:pPr>
    </w:p>
    <w:p w:rsidR="00316298" w:rsidRDefault="00316298" w:rsidP="003162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725471">
        <w:rPr>
          <w:rFonts w:ascii="仿宋_GB2312" w:hAnsi="仿宋_GB2312" w:cs="仿宋_GB2312" w:hint="eastAsia"/>
          <w:szCs w:val="32"/>
        </w:rPr>
        <w:t xml:space="preserve">         </w:t>
      </w:r>
      <w:r w:rsidR="00771E8E">
        <w:rPr>
          <w:rFonts w:ascii="仿宋_GB2312" w:hAnsi="仿宋_GB2312" w:cs="仿宋_GB2312" w:hint="eastAsia"/>
          <w:szCs w:val="32"/>
        </w:rPr>
        <w:t>眉山市东坡区农业农村局</w:t>
      </w:r>
    </w:p>
    <w:p w:rsidR="00A77AFD" w:rsidRDefault="00316298" w:rsidP="00316298">
      <w:pPr>
        <w:ind w:firstLineChars="200" w:firstLine="644"/>
        <w:rPr>
          <w:rFonts w:ascii="仿宋_GB2312" w:hAnsi="仿宋_GB2312" w:cs="仿宋_GB2312"/>
          <w:szCs w:val="32"/>
        </w:rPr>
      </w:pPr>
      <w:r>
        <w:rPr>
          <w:rFonts w:ascii="仿宋_GB2312" w:hAnsi="仿宋_GB2312" w:cs="仿宋_GB2312" w:hint="eastAsia"/>
          <w:szCs w:val="32"/>
        </w:rPr>
        <w:t xml:space="preserve">    </w:t>
      </w:r>
      <w:r w:rsidR="00771E8E">
        <w:rPr>
          <w:rFonts w:ascii="仿宋_GB2312" w:hAnsi="仿宋_GB2312" w:cs="仿宋_GB2312" w:hint="eastAsia"/>
          <w:szCs w:val="32"/>
        </w:rPr>
        <w:t xml:space="preserve">                           </w:t>
      </w:r>
      <w:r w:rsidR="00B474B8">
        <w:rPr>
          <w:rFonts w:ascii="仿宋_GB2312" w:hAnsi="仿宋_GB2312" w:cs="仿宋_GB2312" w:hint="eastAsia"/>
          <w:szCs w:val="32"/>
        </w:rPr>
        <w:t>20</w:t>
      </w:r>
      <w:r>
        <w:rPr>
          <w:rFonts w:ascii="仿宋_GB2312" w:hAnsi="仿宋_GB2312" w:cs="仿宋_GB2312" w:hint="eastAsia"/>
          <w:szCs w:val="32"/>
        </w:rPr>
        <w:t>21</w:t>
      </w:r>
      <w:r w:rsidR="00B474B8">
        <w:rPr>
          <w:rFonts w:ascii="仿宋_GB2312" w:hAnsi="仿宋_GB2312" w:cs="仿宋_GB2312" w:hint="eastAsia"/>
          <w:szCs w:val="32"/>
        </w:rPr>
        <w:t>年</w:t>
      </w:r>
      <w:r>
        <w:rPr>
          <w:rFonts w:ascii="仿宋_GB2312" w:hAnsi="仿宋_GB2312" w:cs="仿宋_GB2312" w:hint="eastAsia"/>
          <w:szCs w:val="32"/>
        </w:rPr>
        <w:t>12</w:t>
      </w:r>
      <w:r w:rsidR="00B474B8">
        <w:rPr>
          <w:rFonts w:ascii="仿宋_GB2312" w:hAnsi="仿宋_GB2312" w:cs="仿宋_GB2312" w:hint="eastAsia"/>
          <w:szCs w:val="32"/>
        </w:rPr>
        <w:t>月2</w:t>
      </w:r>
      <w:r>
        <w:rPr>
          <w:rFonts w:ascii="仿宋_GB2312" w:hAnsi="仿宋_GB2312" w:cs="仿宋_GB2312" w:hint="eastAsia"/>
          <w:szCs w:val="32"/>
        </w:rPr>
        <w:t>8</w:t>
      </w:r>
      <w:r w:rsidR="00B474B8">
        <w:rPr>
          <w:rFonts w:ascii="仿宋_GB2312" w:hAnsi="仿宋_GB2312" w:cs="仿宋_GB2312" w:hint="eastAsia"/>
          <w:szCs w:val="32"/>
        </w:rPr>
        <w:t>日</w:t>
      </w:r>
    </w:p>
    <w:p w:rsidR="00A77AFD" w:rsidRDefault="00A77AFD" w:rsidP="00316298">
      <w:pPr>
        <w:ind w:firstLineChars="200" w:firstLine="644"/>
        <w:rPr>
          <w:rFonts w:ascii="仿宋_GB2312" w:hAnsi="仿宋_GB2312" w:cs="仿宋_GB2312"/>
          <w:szCs w:val="32"/>
        </w:rPr>
        <w:sectPr w:rsidR="00A77AFD">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A77AFD">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A77AFD" w:rsidRDefault="00B474B8">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rPr>
              <w:t>XX县2019年补贴机具信息核验表</w:t>
            </w:r>
          </w:p>
        </w:tc>
      </w:tr>
      <w:tr w:rsidR="00A77AFD">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1500"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A77AFD">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 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生产企业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B474B8">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jc w:val="center"/>
              <w:rPr>
                <w:rFonts w:ascii="宋体" w:eastAsia="宋体" w:hAnsi="宋体" w:cs="宋体"/>
                <w:b/>
                <w:color w:val="000000"/>
                <w:sz w:val="18"/>
                <w:szCs w:val="18"/>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r w:rsidR="00A77AFD">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A77AFD" w:rsidRDefault="00A77AFD">
            <w:pPr>
              <w:rPr>
                <w:rFonts w:ascii="宋体" w:eastAsia="宋体" w:hAnsi="宋体" w:cs="宋体"/>
                <w:color w:val="000000"/>
                <w:sz w:val="22"/>
                <w:szCs w:val="22"/>
              </w:rPr>
            </w:pPr>
          </w:p>
        </w:tc>
      </w:tr>
    </w:tbl>
    <w:p w:rsidR="00A77AFD" w:rsidRDefault="00A77AFD">
      <w:pPr>
        <w:rPr>
          <w:rFonts w:ascii="仿宋" w:eastAsia="仿宋" w:hAnsi="仿宋" w:cs="仿宋"/>
          <w:szCs w:val="32"/>
        </w:rPr>
        <w:sectPr w:rsidR="00A77AFD">
          <w:pgSz w:w="16838" w:h="11906" w:orient="landscape"/>
          <w:pgMar w:top="1800" w:right="1440" w:bottom="1800" w:left="1440" w:header="851" w:footer="992" w:gutter="0"/>
          <w:cols w:space="425"/>
          <w:docGrid w:type="lines" w:linePitch="312"/>
        </w:sectPr>
      </w:pPr>
    </w:p>
    <w:p w:rsidR="00A77AFD" w:rsidRDefault="00A77AFD" w:rsidP="00A77AFD">
      <w:pPr>
        <w:ind w:firstLineChars="200" w:firstLine="644"/>
        <w:rPr>
          <w:rFonts w:ascii="仿宋_GB2312" w:hAnsi="仿宋_GB2312" w:cs="仿宋_GB2312"/>
          <w:szCs w:val="32"/>
        </w:rPr>
      </w:pPr>
    </w:p>
    <w:sectPr w:rsidR="00A77AFD" w:rsidSect="00A77AFD">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54F" w:rsidRDefault="007A354F" w:rsidP="00A77AFD">
      <w:r>
        <w:separator/>
      </w:r>
    </w:p>
  </w:endnote>
  <w:endnote w:type="continuationSeparator" w:id="0">
    <w:p w:rsidR="007A354F" w:rsidRDefault="007A354F" w:rsidP="00A77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FD" w:rsidRDefault="00500AD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77AFD" w:rsidRDefault="00500ADF">
                <w:pPr>
                  <w:pStyle w:val="a3"/>
                  <w:rPr>
                    <w:rFonts w:ascii="宋体" w:eastAsia="宋体" w:hAnsi="宋体" w:cs="宋体"/>
                    <w:sz w:val="28"/>
                    <w:szCs w:val="28"/>
                  </w:rPr>
                </w:pPr>
                <w:r>
                  <w:rPr>
                    <w:rFonts w:ascii="宋体" w:eastAsia="宋体" w:hAnsi="宋体" w:cs="宋体" w:hint="eastAsia"/>
                    <w:sz w:val="28"/>
                    <w:szCs w:val="28"/>
                  </w:rPr>
                  <w:fldChar w:fldCharType="begin"/>
                </w:r>
                <w:r w:rsidR="00B474B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354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54F" w:rsidRDefault="007A354F" w:rsidP="00A77AFD">
      <w:r>
        <w:separator/>
      </w:r>
    </w:p>
  </w:footnote>
  <w:footnote w:type="continuationSeparator" w:id="0">
    <w:p w:rsidR="007A354F" w:rsidRDefault="007A354F" w:rsidP="00A77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61"/>
  <w:drawingGridVerticalSpacing w:val="572"/>
  <w:displayHorizontalDrawingGridEvery w:val="2"/>
  <w:displayVerticalDrawingGridEvery w:val="2"/>
  <w:characterSpacingControl w:val="compressPunctuation"/>
  <w:savePreviewPicture/>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AFD"/>
    <w:rsid w:val="00316298"/>
    <w:rsid w:val="00500ADF"/>
    <w:rsid w:val="00725471"/>
    <w:rsid w:val="00771E8E"/>
    <w:rsid w:val="007A354F"/>
    <w:rsid w:val="00A77AFD"/>
    <w:rsid w:val="00B474B8"/>
    <w:rsid w:val="076E2527"/>
    <w:rsid w:val="42152224"/>
    <w:rsid w:val="5F59334B"/>
    <w:rsid w:val="613B7918"/>
    <w:rsid w:val="77217860"/>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AFD"/>
    <w:pPr>
      <w:widowControl w:val="0"/>
      <w:jc w:val="both"/>
    </w:pPr>
    <w:rPr>
      <w:rFonts w:ascii="Times New Roman" w:eastAsia="仿宋_GB2312" w:hAnsi="Times New Roman"/>
      <w:kern w:val="2"/>
      <w:sz w:val="32"/>
      <w:szCs w:val="24"/>
    </w:rPr>
  </w:style>
  <w:style w:type="paragraph" w:styleId="1">
    <w:name w:val="heading 1"/>
    <w:basedOn w:val="a"/>
    <w:next w:val="a"/>
    <w:qFormat/>
    <w:rsid w:val="00A77AFD"/>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77AFD"/>
    <w:pPr>
      <w:tabs>
        <w:tab w:val="center" w:pos="4153"/>
        <w:tab w:val="right" w:pos="8306"/>
      </w:tabs>
      <w:snapToGrid w:val="0"/>
      <w:jc w:val="left"/>
    </w:pPr>
    <w:rPr>
      <w:sz w:val="18"/>
    </w:rPr>
  </w:style>
  <w:style w:type="paragraph" w:styleId="a4">
    <w:name w:val="header"/>
    <w:basedOn w:val="a"/>
    <w:qFormat/>
    <w:rsid w:val="00A77A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A77AF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刘强</cp:lastModifiedBy>
  <cp:revision>4</cp:revision>
  <dcterms:created xsi:type="dcterms:W3CDTF">2014-10-29T12:08:00Z</dcterms:created>
  <dcterms:modified xsi:type="dcterms:W3CDTF">2021-12-29T01:20:00Z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