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广元市朝天区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农机购置补贴政策落实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重大事项集体决策制度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为规范农业机械购置补贴政策落实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重大事项实行集体决策，提高政策的权威性、科学性和公正性，根据农业农村部、省农业农村厅有关要求，结合我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工作实际，特制定本制度。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一、集体决策事项范围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全区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农机购置补贴政策实施指导意见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农机购置补贴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违规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违纪行为惩处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情况、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其他需要集体决策的事项。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二、集体决策的工作程序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一）区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农机购置补贴工作领导小组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组长主持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小组成员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会议，对拟决策事项进行集体研究。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经办人在会上介绍集体决策事项相关的法规、政策、制度规定及有关情况，提出初步意见；参会人员认真研究、讨论后形成集体决策的书面意见。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区农机化股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负责做好会议记录，存档备查。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集体决策形成的意见报局领导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和区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农机购置补贴工作领导小组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组长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批准后执行。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三、集体决策纪律要求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承办集体决策事项的部门和个人应严格维护集体决策的严肃性，任何人不得擅自违反、改变决策结果。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（二）参会人员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及相关工作人员应严格遵守工作制度和保密纪律，严禁将集体决策过程和未执行事项泄露、告诉给农机购置补贴相关的单位、企业和个人。对违反工作制度和纪律、造成不良影响和后果的，要严肃追究相关人员的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96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</w:rPr>
        <w:t>本制度由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  <w:lang w:eastAsia="zh-CN"/>
        </w:rPr>
        <w:t>广元市朝天区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</w:rPr>
        <w:t>农业农村局负责解释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</w:rPr>
        <w:t>自发布之日起实施。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cs="宋体"/>
      <w:kern w:val="0"/>
      <w:sz w:val="24"/>
      <w:lang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2022-01-13T00:33:50Z</dcterms:created>
  <dc:creator>Administrator</dc:creator>
  <cp:lastModifiedBy>一切安好</cp:lastModifiedBy>
  <dcterms:modified xsi:type="dcterms:W3CDTF">2022-01-13T00:34:17Z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E34B64BF6BB24A219E933B36EAD3D836</vt:lpwstr>
  </property>
</Properties>
</file>