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盐源县2022</w:t>
      </w:r>
      <w:bookmarkStart w:id="0" w:name="_GoBack"/>
      <w:bookmarkEnd w:id="0"/>
      <w:r>
        <w:rPr>
          <w:rFonts w:hint="eastAsia" w:ascii="方正小标宋简体" w:hAnsi="方正小标宋简体" w:eastAsia="方正小标宋简体" w:cs="方正小标宋简体"/>
          <w:sz w:val="44"/>
          <w:szCs w:val="44"/>
          <w:lang w:val="en-US" w:eastAsia="zh-CN"/>
        </w:rPr>
        <w:t>年农机购置补贴机具核验制度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农业农村部办公厅关于进一步做好农机购置补贴机具投档与核验等工作的通知》精神，经我县农机补贴领导小组审核同意，制定2022年农机购置补贴机具核验工作要点如下。</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补贴机具核验是指盐源县农业农村局对县域内从事农业生产的个人和农业生产经营组织（以下简称“购机者”）申报农机购置补贴时提供的相关资料进行形式审核、对机具进行核查的工作。核验的主要内容包括：</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元以下（不含）的其它非重点机具核验比例不低于50%。 </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公示报送。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(七)资金兑付。县农业农村部门提交资金兑付申请与有关材料，于15个工作日内通过国库集中支付方式向符合要求的购机者兑付资金。兑付给个人的农机购置补贴资金必须通过社会保障卡“一卡通”发放。</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（一）加强核验人员队伍建设。选配责任心强、业务素质高、作风优良的干部从事核验工作，对其每年至少开展一次廉洁从政、业务技能等方面的教育培训。建立健全分管领导监督机制，明确岗位职责。</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ind w:firstLine="5120" w:firstLineChars="16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盐源县农业农村局</w:t>
      </w:r>
    </w:p>
    <w:p>
      <w:pPr>
        <w:bidi w:val="0"/>
        <w:ind w:firstLine="5120" w:firstLineChars="1600"/>
        <w:jc w:val="both"/>
        <w:rPr>
          <w:rFonts w:hint="eastAsia" w:ascii="仿宋" w:hAnsi="仿宋" w:eastAsia="仿宋" w:cs="仿宋"/>
          <w:b w:val="0"/>
          <w:bCs w:val="0"/>
          <w:sz w:val="32"/>
          <w:szCs w:val="32"/>
          <w:lang w:eastAsia="zh-CN"/>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仿宋_GB2312" w:hAnsi="仿宋_GB2312" w:cs="仿宋_GB2312"/>
          <w:sz w:val="32"/>
          <w:szCs w:val="32"/>
          <w:lang w:val="en-US" w:eastAsia="zh-CN"/>
        </w:rPr>
        <w:t>2022年10月31日</w:t>
      </w: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2MyZTJhZDE5Njk2ZjQxZTY4MTVkMDc1N2M0NTMifQ=="/>
  </w:docVars>
  <w:rsids>
    <w:rsidRoot w:val="00000000"/>
    <w:rsid w:val="076E2527"/>
    <w:rsid w:val="25EA1D72"/>
    <w:rsid w:val="393D3004"/>
    <w:rsid w:val="40CB3E7A"/>
    <w:rsid w:val="42152224"/>
    <w:rsid w:val="45217A66"/>
    <w:rsid w:val="490A0B91"/>
    <w:rsid w:val="4B624A6C"/>
    <w:rsid w:val="4B7D2270"/>
    <w:rsid w:val="5F59334B"/>
    <w:rsid w:val="60000014"/>
    <w:rsid w:val="613B791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2402</Words>
  <Characters>2430</Characters>
  <Lines>0</Lines>
  <Paragraphs>0</Paragraphs>
  <TotalTime>133</TotalTime>
  <ScaleCrop>false</ScaleCrop>
  <LinksUpToDate>false</LinksUpToDate>
  <CharactersWithSpaces>2444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千山渡</cp:lastModifiedBy>
  <dcterms:modified xsi:type="dcterms:W3CDTF">2022-12-06T08:47:44Z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EFB45835C26F4526BD90E225FB2D22DC</vt:lpwstr>
  </property>
</Properties>
</file>