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渠县</w:t>
      </w:r>
      <w:r>
        <w:rPr>
          <w:rFonts w:ascii="Times New Roman" w:hAnsi="Times New Roman" w:eastAsia="方正小标宋简体" w:cs="Times New Roman"/>
          <w:sz w:val="44"/>
          <w:szCs w:val="44"/>
        </w:rPr>
        <w:t>农业补贴政策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在基层实施中的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基本</w:t>
      </w:r>
      <w:r>
        <w:rPr>
          <w:rFonts w:ascii="Times New Roman" w:hAnsi="Times New Roman" w:eastAsia="方正小标宋简体" w:cs="Times New Roman"/>
          <w:sz w:val="44"/>
          <w:szCs w:val="44"/>
        </w:rPr>
        <w:t>情况、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存在问题和建议</w:t>
      </w:r>
    </w:p>
    <w:p>
      <w:pPr>
        <w:spacing w:line="60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（政务信息专报）</w:t>
      </w:r>
    </w:p>
    <w:p>
      <w:pPr>
        <w:spacing w:line="6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政府办公室：</w:t>
      </w:r>
    </w:p>
    <w:p>
      <w:pPr>
        <w:adjustRightInd w:val="0"/>
        <w:snapToGrid w:val="0"/>
        <w:spacing w:line="579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落实粮食奖补政策是调动种粮人积极性、促进粮食扩面增产、保障粮食生产安全的重要手段。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渠县</w:t>
      </w:r>
      <w:r>
        <w:rPr>
          <w:rFonts w:hint="eastAsia" w:ascii="仿宋" w:hAnsi="仿宋" w:eastAsia="仿宋" w:cs="仿宋"/>
          <w:sz w:val="30"/>
          <w:szCs w:val="30"/>
        </w:rPr>
        <w:t>坚定贯彻中央决策部署，全面落实粮食生产扶持政策，大力扶持和培育种粮大户、家庭农场、农民合作社等新型经营主体，积极引导农民优化种植结构、提升种植质量。</w:t>
      </w:r>
    </w:p>
    <w:p>
      <w:pPr>
        <w:pStyle w:val="2"/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一、基本情况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7" w:lineRule="atLeast"/>
        <w:ind w:left="0" w:right="0" w:firstLine="0"/>
        <w:jc w:val="both"/>
        <w:rPr>
          <w:rFonts w:hint="eastAsia" w:ascii="仿宋" w:hAnsi="仿宋" w:eastAsia="仿宋" w:cs="仿宋"/>
          <w:color w:val="C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C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补贴的种类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7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C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、耕地地力保护补贴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（拥有二轮土地承包面积拥有者、未撂荒、未搞农业设施建设、退耕还林）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7" w:lineRule="atLeast"/>
        <w:ind w:left="0" w:right="0" w:firstLine="30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2、适度规模经营补贴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30亩以上的种粮大户、限定粮食种植：水稻、小麦、玉米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7" w:lineRule="atLeast"/>
        <w:ind w:left="0" w:right="0" w:firstLine="30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、农机购置补贴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（在国家目录范围内的购机者享受国家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30%、 专业合作社、家庭农场均可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7" w:lineRule="atLeast"/>
        <w:ind w:left="0" w:right="0" w:firstLine="30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4、稻谷目标价格补贴（水稻实际种植者）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7" w:lineRule="atLeast"/>
        <w:ind w:left="0" w:right="0" w:firstLine="30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补贴对象：原则上拥有耕地承包权的种植农民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7" w:lineRule="atLeast"/>
        <w:ind w:left="0" w:right="0" w:firstLine="30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补贴形式：补贴资金通过“金保网”“一卡通”等形式直接兑现到农户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7" w:lineRule="atLeast"/>
        <w:ind w:left="0" w:right="0" w:firstLine="281" w:firstLineChars="100"/>
        <w:jc w:val="both"/>
        <w:rPr>
          <w:rStyle w:val="11"/>
          <w:rFonts w:hint="eastAsia"/>
          <w:sz w:val="32"/>
          <w:szCs w:val="32"/>
          <w:lang w:val="en-US" w:eastAsia="zh-CN"/>
        </w:rPr>
      </w:pPr>
      <w:r>
        <w:rPr>
          <w:rStyle w:val="11"/>
          <w:rFonts w:hint="eastAsia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、</w:t>
      </w:r>
      <w:r>
        <w:rPr>
          <w:rStyle w:val="11"/>
          <w:rFonts w:hint="eastAsia"/>
          <w:sz w:val="32"/>
          <w:szCs w:val="32"/>
          <w:lang w:val="en-US" w:eastAsia="zh-CN"/>
        </w:rPr>
        <w:t>兑付情况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渠县</w:t>
      </w:r>
      <w:r>
        <w:rPr>
          <w:rFonts w:hint="eastAsia" w:ascii="仿宋" w:hAnsi="仿宋" w:eastAsia="仿宋" w:cs="仿宋"/>
          <w:sz w:val="30"/>
          <w:szCs w:val="30"/>
        </w:rPr>
        <w:t>粮食相关惠民惠农奖补政策四项，有耕地地力保护补贴、稻谷目标价格补贴、种粮大户补贴、农机购置补贴。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578" w:lineRule="exact"/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耕地地力保护补贴。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年，耕地地力保护补贴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上级</w:t>
      </w:r>
      <w:r>
        <w:rPr>
          <w:rFonts w:hint="eastAsia" w:ascii="仿宋" w:hAnsi="仿宋" w:eastAsia="仿宋" w:cs="仿宋"/>
          <w:sz w:val="30"/>
          <w:szCs w:val="30"/>
        </w:rPr>
        <w:t>总共下达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我县</w:t>
      </w:r>
      <w:r>
        <w:rPr>
          <w:rFonts w:hint="eastAsia" w:ascii="仿宋" w:hAnsi="仿宋" w:eastAsia="仿宋" w:cs="仿宋"/>
          <w:sz w:val="30"/>
          <w:szCs w:val="30"/>
        </w:rPr>
        <w:t>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1069.14</w:t>
      </w:r>
      <w:r>
        <w:rPr>
          <w:rFonts w:hint="eastAsia" w:ascii="仿宋" w:hAnsi="仿宋" w:eastAsia="仿宋" w:cs="仿宋"/>
          <w:sz w:val="30"/>
          <w:szCs w:val="30"/>
        </w:rPr>
        <w:t>万元，其中第一批资金下达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1042.24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第二次下达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269万元。涉及农户282916户、人口1084615人、补贴面积916978.62亩，补贴标准116.59 /亩。现已支付全部资金的99%.余下0.1%在纠错中。 </w:t>
      </w:r>
    </w:p>
    <w:p>
      <w:pPr>
        <w:numPr>
          <w:ilvl w:val="0"/>
          <w:numId w:val="1"/>
        </w:numPr>
        <w:spacing w:line="578" w:lineRule="exac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稻谷目标价格补贴。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年稻谷目标价格补贴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上级下达资金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1948.19</w:t>
      </w:r>
      <w:r>
        <w:rPr>
          <w:rFonts w:hint="eastAsia" w:ascii="仿宋" w:hAnsi="仿宋" w:eastAsia="仿宋" w:cs="仿宋"/>
          <w:sz w:val="30"/>
          <w:szCs w:val="30"/>
        </w:rPr>
        <w:t>万元。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涉及农户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139251户，人口555551人，补贴面积374652.07亩，补贴标准52/亩。</w:t>
      </w:r>
      <w:r>
        <w:rPr>
          <w:rFonts w:hint="eastAsia" w:ascii="仿宋" w:hAnsi="仿宋" w:eastAsia="仿宋" w:cs="仿宋"/>
          <w:sz w:val="30"/>
          <w:szCs w:val="30"/>
        </w:rPr>
        <w:t>已兑付成功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总金额的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99.5% ，余下0.05%在纠错中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numPr>
          <w:ilvl w:val="0"/>
          <w:numId w:val="1"/>
        </w:numPr>
        <w:spacing w:line="578" w:lineRule="exact"/>
        <w:ind w:left="0" w:leftChars="0"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种粮大户补贴。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年省上下达我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115万元，上年结存1400元，共资金115.14万元，涉及种粮大户254户，专业合作社14户，家庭农场5户，有限公司1户，补贴面积33787.33亩，其中现金直补87.847万元，标准26/亩，转方式补贴3户，</w:t>
      </w:r>
    </w:p>
    <w:p>
      <w:pPr>
        <w:numPr>
          <w:ilvl w:val="0"/>
          <w:numId w:val="0"/>
        </w:numPr>
        <w:spacing w:line="578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金额：23.19万元。剩余金额：4.1万元用于下年度。</w:t>
      </w:r>
    </w:p>
    <w:p>
      <w:pPr>
        <w:spacing w:line="578" w:lineRule="exact"/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4. 农机购置补贴。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全县共办理农业机械补贴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4988台/套、购机者享受国家补贴</w:t>
      </w:r>
      <w:r>
        <w:rPr>
          <w:rFonts w:hint="eastAsia" w:ascii="仿宋" w:hAnsi="仿宋" w:eastAsia="仿宋" w:cs="仿宋"/>
          <w:sz w:val="30"/>
          <w:szCs w:val="30"/>
        </w:rPr>
        <w:t>资金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428.0299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带动农民投资达到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1.14多亿元，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受益农户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4493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3"/>
        <w:bidi w:val="0"/>
        <w:rPr>
          <w:rFonts w:hint="eastAsia" w:ascii="仿宋" w:hAnsi="仿宋" w:eastAsia="仿宋" w:cs="仿宋"/>
          <w:szCs w:val="30"/>
        </w:rPr>
      </w:pPr>
      <w:r>
        <w:rPr>
          <w:rFonts w:hint="eastAsia"/>
        </w:rPr>
        <w:t>三、存在的问题</w:t>
      </w:r>
    </w:p>
    <w:p>
      <w:pPr>
        <w:pStyle w:val="6"/>
        <w:spacing w:line="578" w:lineRule="exact"/>
        <w:ind w:left="0" w:leftChars="0" w:firstLine="640"/>
        <w:rPr>
          <w:rStyle w:val="9"/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1.个别乡镇、村干部对补贴政策理解有偏差，导致补贴未能按时间节点完成</w:t>
      </w:r>
    </w:p>
    <w:p>
      <w:pPr>
        <w:spacing w:line="578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2.补贴标准较低，不能有效激发农民种粮积极性</w:t>
      </w:r>
    </w:p>
    <w:p>
      <w:pPr>
        <w:spacing w:line="578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3.由于少部分农户未办社保卡，或多张社保卡号，造成“金保网”识别不准确，导致不能及时发放到位。</w:t>
      </w:r>
    </w:p>
    <w:p>
      <w:pPr>
        <w:spacing w:line="578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4.乡镇村从事补贴工作的录入人员素质参差不齐，加之量大面宽，打卡信息录入不准确，纠错工作一直在进行，久拖不决。</w:t>
      </w:r>
    </w:p>
    <w:p>
      <w:pPr>
        <w:spacing w:line="578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5、购机补贴宣传力度不大，农民自主选择机型困难，售后不及时。网点覆盖不全面</w:t>
      </w:r>
    </w:p>
    <w:p>
      <w:pPr>
        <w:spacing w:line="578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6.农业机械公共服务设施体系不健全，基层环节薄弱。</w:t>
      </w:r>
    </w:p>
    <w:p>
      <w:pPr>
        <w:spacing w:line="578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7.乡村农户外出务工，无法联系，导致发放不及时。</w:t>
      </w:r>
    </w:p>
    <w:p>
      <w:pPr>
        <w:numPr>
          <w:ilvl w:val="0"/>
          <w:numId w:val="0"/>
        </w:numPr>
        <w:spacing w:line="578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12"/>
          <w:rFonts w:hint="eastAsia"/>
          <w:sz w:val="32"/>
          <w:szCs w:val="32"/>
          <w:lang w:val="en-US" w:eastAsia="zh-CN"/>
        </w:rPr>
        <w:t>四、几点建议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1.工作责任压力大，工作经费不足，建议配套工作经费。</w:t>
      </w: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2、加强领导 乡、镇、街道办领导要高度重视惠民惠农补贴工作，需安排专人专职负责此项工作。</w:t>
      </w: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3.强化培训 惠民惠农涉及面大，运行平台程序多而复杂，需要上级部门对从事此项工作的人员加强业务指导和培训，从基层建立一支专业化队伍，保障补贴工作顺利进行。</w:t>
      </w: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4.提高标准。 按照习总书记关于粮食生产的最高指示精神，建议省市在充分调研的基层上，提高单位面积补贴标准，激发和调动农民种粮积极性。</w:t>
      </w: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5.建议银行及时回盘，加强与业务主管部门的沟通，以便按照上级要求时间节点，发放到农户。</w:t>
      </w: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6适当提高经济欠发达地区，山区农机补贴标准。公开农机配件价格，降低销售价格。</w:t>
      </w: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渠县农业农村局</w:t>
      </w:r>
    </w:p>
    <w:p>
      <w:pPr>
        <w:numPr>
          <w:ilvl w:val="0"/>
          <w:numId w:val="0"/>
        </w:numPr>
        <w:spacing w:line="578" w:lineRule="exact"/>
        <w:ind w:left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二零二二年七月十四日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D0645"/>
    <w:multiLevelType w:val="singleLevel"/>
    <w:tmpl w:val="99AD06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1YjgwYzU1YzQwMmRjZjcyZmI3ZmNlZTNiOWI4MDMifQ=="/>
  </w:docVars>
  <w:rsids>
    <w:rsidRoot w:val="121C7543"/>
    <w:rsid w:val="000D31D4"/>
    <w:rsid w:val="002A01D8"/>
    <w:rsid w:val="002C2966"/>
    <w:rsid w:val="003F274F"/>
    <w:rsid w:val="004470F2"/>
    <w:rsid w:val="00531C33"/>
    <w:rsid w:val="005F5630"/>
    <w:rsid w:val="007C048A"/>
    <w:rsid w:val="009323CD"/>
    <w:rsid w:val="009925BB"/>
    <w:rsid w:val="009E70C4"/>
    <w:rsid w:val="00C27322"/>
    <w:rsid w:val="00D10038"/>
    <w:rsid w:val="00D456D3"/>
    <w:rsid w:val="00F07B8A"/>
    <w:rsid w:val="01F15820"/>
    <w:rsid w:val="026E2CA5"/>
    <w:rsid w:val="03EA7657"/>
    <w:rsid w:val="05B0353D"/>
    <w:rsid w:val="0CE115CD"/>
    <w:rsid w:val="0E445DEA"/>
    <w:rsid w:val="11027241"/>
    <w:rsid w:val="121C7543"/>
    <w:rsid w:val="13E97D2D"/>
    <w:rsid w:val="14416AAB"/>
    <w:rsid w:val="14C151AF"/>
    <w:rsid w:val="15F75A5F"/>
    <w:rsid w:val="179A3F5D"/>
    <w:rsid w:val="180E3F64"/>
    <w:rsid w:val="19320962"/>
    <w:rsid w:val="1C664613"/>
    <w:rsid w:val="1E4A3923"/>
    <w:rsid w:val="1F065439"/>
    <w:rsid w:val="200E1A69"/>
    <w:rsid w:val="21170427"/>
    <w:rsid w:val="22297FD5"/>
    <w:rsid w:val="248754A4"/>
    <w:rsid w:val="250E0078"/>
    <w:rsid w:val="270A5E68"/>
    <w:rsid w:val="29B92544"/>
    <w:rsid w:val="326C3469"/>
    <w:rsid w:val="32F44EB2"/>
    <w:rsid w:val="33A43436"/>
    <w:rsid w:val="354C4B84"/>
    <w:rsid w:val="35851CAC"/>
    <w:rsid w:val="38AA5E80"/>
    <w:rsid w:val="39F60F73"/>
    <w:rsid w:val="3A451886"/>
    <w:rsid w:val="3B4832F6"/>
    <w:rsid w:val="3B8064C9"/>
    <w:rsid w:val="3F326C14"/>
    <w:rsid w:val="414051B0"/>
    <w:rsid w:val="43912260"/>
    <w:rsid w:val="445A553F"/>
    <w:rsid w:val="46E96D0A"/>
    <w:rsid w:val="47FA5DB3"/>
    <w:rsid w:val="49812E3E"/>
    <w:rsid w:val="4C064395"/>
    <w:rsid w:val="50BC2A7E"/>
    <w:rsid w:val="513640EF"/>
    <w:rsid w:val="51E7019D"/>
    <w:rsid w:val="53C15B54"/>
    <w:rsid w:val="5A045E8F"/>
    <w:rsid w:val="5B077F59"/>
    <w:rsid w:val="5E943CB1"/>
    <w:rsid w:val="615B3AD4"/>
    <w:rsid w:val="627E3937"/>
    <w:rsid w:val="628373D5"/>
    <w:rsid w:val="62D47F5F"/>
    <w:rsid w:val="65457785"/>
    <w:rsid w:val="69000BEC"/>
    <w:rsid w:val="71443CB7"/>
    <w:rsid w:val="748B0EC1"/>
    <w:rsid w:val="784765F2"/>
    <w:rsid w:val="7859057A"/>
    <w:rsid w:val="79BC4DBD"/>
    <w:rsid w:val="7D4073AC"/>
    <w:rsid w:val="7E2B5E05"/>
    <w:rsid w:val="7F4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4 Char"/>
    <w:link w:val="3"/>
    <w:uiPriority w:val="0"/>
    <w:rPr>
      <w:rFonts w:ascii="Arial" w:hAnsi="Arial" w:eastAsia="黑体"/>
      <w:b/>
      <w:sz w:val="28"/>
    </w:rPr>
  </w:style>
  <w:style w:type="character" w:customStyle="1" w:styleId="12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467</Words>
  <Characters>2668</Characters>
  <Lines>22</Lines>
  <Paragraphs>6</Paragraphs>
  <TotalTime>47</TotalTime>
  <ScaleCrop>false</ScaleCrop>
  <LinksUpToDate>false</LinksUpToDate>
  <CharactersWithSpaces>3129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2021-07-13T09:25:00Z</dcterms:created>
  <dc:creator>联想</dc:creator>
  <cp:lastModifiedBy>Administrator</cp:lastModifiedBy>
  <dcterms:modified xsi:type="dcterms:W3CDTF">2023-09-25T07:17:44Z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42B295EE68EE40BB876A7301DE5A2DA2</vt:lpwstr>
  </property>
  <property fmtid="{D5CDD505-2E9C-101B-9397-08002B2CF9AE}" pid="4" name="KSOSaveFontToCloudKey">
    <vt:lpwstr>455569978_btnclosed</vt:lpwstr>
  </property>
</Properties>
</file>