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,使用资金152.9878万元，</w:t>
      </w:r>
      <w:r>
        <w:rPr>
          <w:rFonts w:hint="eastAsia"/>
          <w:color w:val="333333"/>
          <w:sz w:val="36"/>
          <w:szCs w:val="36"/>
          <w:lang w:eastAsia="zh-CN"/>
        </w:rPr>
        <w:t>结算资金</w:t>
      </w:r>
      <w:r>
        <w:rPr>
          <w:rFonts w:hint="eastAsia"/>
          <w:color w:val="333333"/>
          <w:sz w:val="36"/>
          <w:szCs w:val="36"/>
          <w:lang w:val="en-US" w:eastAsia="zh-CN"/>
        </w:rPr>
        <w:t>99.7803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83.9739万元。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8261B7D"/>
    <w:rsid w:val="1FCD6B43"/>
    <w:rsid w:val="218B0592"/>
    <w:rsid w:val="255754E4"/>
    <w:rsid w:val="26D70481"/>
    <w:rsid w:val="2C942E1F"/>
    <w:rsid w:val="31E25E7A"/>
    <w:rsid w:val="3C167162"/>
    <w:rsid w:val="3C50670D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15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2024-04-08T08:28:18Z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