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12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,使用资金197.7574万元，</w:t>
      </w:r>
      <w:r>
        <w:rPr>
          <w:rFonts w:hint="eastAsia"/>
          <w:color w:val="333333"/>
          <w:sz w:val="36"/>
          <w:szCs w:val="36"/>
          <w:lang w:eastAsia="zh-CN"/>
        </w:rPr>
        <w:t>结算资金</w:t>
      </w:r>
      <w:r>
        <w:rPr>
          <w:rFonts w:hint="eastAsia"/>
          <w:color w:val="333333"/>
          <w:sz w:val="36"/>
          <w:szCs w:val="36"/>
          <w:lang w:val="en-US" w:eastAsia="zh-CN"/>
        </w:rPr>
        <w:t>142.1569</w:t>
      </w:r>
      <w:r>
        <w:rPr>
          <w:rFonts w:hint="eastAsia"/>
          <w:color w:val="333333"/>
          <w:sz w:val="36"/>
          <w:szCs w:val="36"/>
          <w:lang w:eastAsia="zh-CN"/>
        </w:rPr>
        <w:t>万元，剩余资金</w:t>
      </w:r>
      <w:r>
        <w:rPr>
          <w:rFonts w:hint="eastAsia"/>
          <w:color w:val="333333"/>
          <w:sz w:val="36"/>
          <w:szCs w:val="36"/>
          <w:lang w:val="en-US" w:eastAsia="zh-CN"/>
        </w:rPr>
        <w:t>39.2043万元。</w:t>
      </w: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12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29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17DE7160"/>
    <w:rsid w:val="18261B7D"/>
    <w:rsid w:val="1FCD6B43"/>
    <w:rsid w:val="218B0592"/>
    <w:rsid w:val="255754E4"/>
    <w:rsid w:val="26D70481"/>
    <w:rsid w:val="2C942E1F"/>
    <w:rsid w:val="31E25E7A"/>
    <w:rsid w:val="35E51EE3"/>
    <w:rsid w:val="3C167162"/>
    <w:rsid w:val="3C50670D"/>
    <w:rsid w:val="42184FAB"/>
    <w:rsid w:val="4A6A32C0"/>
    <w:rsid w:val="53E35B58"/>
    <w:rsid w:val="57482087"/>
    <w:rsid w:val="5F0F6A1E"/>
    <w:rsid w:val="5FAD1805"/>
    <w:rsid w:val="622665D5"/>
    <w:rsid w:val="6B9E13C7"/>
    <w:rsid w:val="6D8A6BC8"/>
    <w:rsid w:val="6ED8772C"/>
    <w:rsid w:val="78AB1474"/>
    <w:rsid w:val="7EFA0DEE"/>
    <w:rsid w:val="7F9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19</TotalTime>
  <ScaleCrop>false</ScaleCrop>
  <LinksUpToDate>false</LinksUpToDate>
  <CharactersWithSpaces>115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2024-04-08T08:35:39Z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