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,使用资金178.306万元，</w:t>
      </w:r>
      <w:r>
        <w:rPr>
          <w:rFonts w:hint="eastAsia"/>
          <w:color w:val="333333"/>
          <w:sz w:val="36"/>
          <w:szCs w:val="36"/>
          <w:lang w:eastAsia="zh-CN"/>
        </w:rPr>
        <w:t>结算资金</w:t>
      </w:r>
      <w:r>
        <w:rPr>
          <w:rFonts w:hint="eastAsia"/>
          <w:color w:val="333333"/>
          <w:sz w:val="36"/>
          <w:szCs w:val="36"/>
          <w:lang w:val="en-US" w:eastAsia="zh-CN"/>
        </w:rPr>
        <w:t>99.7803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58.6557万元。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C942E1F"/>
    <w:rsid w:val="31E25E7A"/>
    <w:rsid w:val="3C167162"/>
    <w:rsid w:val="3C50670D"/>
    <w:rsid w:val="4A6A32C0"/>
    <w:rsid w:val="53E35B58"/>
    <w:rsid w:val="57482087"/>
    <w:rsid w:val="5F0F6A1E"/>
    <w:rsid w:val="5FAD1805"/>
    <w:rsid w:val="622665D5"/>
    <w:rsid w:val="6B9E13C7"/>
    <w:rsid w:val="6D8A6BC8"/>
    <w:rsid w:val="6ED8772C"/>
    <w:rsid w:val="78AB1474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17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2024-04-08T08:31:31Z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